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Garamond" w:hAnsi="Garamond"/>
          <w:b/>
          <w:b/>
          <w:sz w:val="32"/>
          <w:szCs w:val="32"/>
        </w:rPr>
      </w:pPr>
      <w:r>
        <w:rPr>
          <w:rFonts w:ascii="Garamond" w:hAnsi="Garamond"/>
          <w:b/>
          <w:sz w:val="32"/>
          <w:szCs w:val="32"/>
        </w:rPr>
        <w:t xml:space="preserve">ALLEGATO AL PTPCT </w:t>
      </w:r>
    </w:p>
    <w:p>
      <w:pPr>
        <w:pStyle w:val="Normal"/>
        <w:jc w:val="center"/>
        <w:rPr>
          <w:rFonts w:ascii="Garamond" w:hAnsi="Garamond"/>
          <w:b/>
          <w:b/>
        </w:rPr>
      </w:pPr>
      <w:r>
        <w:rPr>
          <w:rFonts w:ascii="Garamond" w:hAnsi="Garamond"/>
          <w:b/>
        </w:rPr>
        <w:t xml:space="preserve">Obblighi di pubblicazione ai sensi del D.Lgs. n. 33/2013 </w:t>
      </w:r>
    </w:p>
    <w:p>
      <w:pPr>
        <w:pStyle w:val="Normal"/>
        <w:jc w:val="center"/>
        <w:rPr>
          <w:rFonts w:ascii="Garamond" w:hAnsi="Garamond" w:eastAsia="Times New Roman" w:cs="Times New Roman"/>
          <w:b/>
          <w:b/>
        </w:rPr>
      </w:pPr>
      <w:r>
        <w:rPr>
          <w:rFonts w:ascii="Garamond" w:hAnsi="Garamond"/>
          <w:b/>
        </w:rPr>
        <w:t>con indicazione dei responabili della trasmissione e della pubblicazione</w:t>
      </w:r>
    </w:p>
    <w:p>
      <w:pPr>
        <w:pStyle w:val="Normal"/>
        <w:rPr>
          <w:rFonts w:ascii="Garamond" w:hAnsi="Garamond" w:eastAsia="Times New Roman" w:cs="Times New Roman"/>
        </w:rPr>
      </w:pPr>
      <w:r>
        <w:rPr>
          <w:rFonts w:eastAsia="Times New Roman" w:cs="Times New Roman" w:ascii="Garamond" w:hAnsi="Garamond"/>
        </w:rPr>
      </w:r>
    </w:p>
    <w:p>
      <w:pPr>
        <w:pStyle w:val="Normal"/>
        <w:jc w:val="both"/>
        <w:rPr>
          <w:rFonts w:ascii="Garamond" w:hAnsi="Garamond" w:eastAsia="Times New Roman"/>
        </w:rPr>
      </w:pPr>
      <w:r>
        <w:rPr>
          <w:rFonts w:eastAsia="Times New Roman" w:ascii="Garamond" w:hAnsi="Garamond"/>
        </w:rPr>
      </w:r>
    </w:p>
    <w:p>
      <w:pPr>
        <w:pStyle w:val="Normal"/>
        <w:jc w:val="both"/>
        <w:rPr>
          <w:rFonts w:ascii="Garamond" w:hAnsi="Garamond" w:eastAsia="Times New Roman"/>
        </w:rPr>
      </w:pPr>
      <w:r>
        <w:rPr>
          <w:rFonts w:eastAsia="Times New Roman" w:ascii="Garamond" w:hAnsi="Garamond"/>
        </w:rPr>
        <w:t xml:space="preserve">Il presente Allegato, in relazione all'allegato 5 contenente l'elenco degli obblighi di pubblicazione, individua e identifica, nella Tabella , i soggetti responsabili della trasmissione e della pubblicazione. </w:t>
      </w:r>
    </w:p>
    <w:p>
      <w:pPr>
        <w:pStyle w:val="Normal"/>
        <w:jc w:val="both"/>
        <w:rPr>
          <w:rFonts w:ascii="Garamond" w:hAnsi="Garamond" w:eastAsia="Times New Roman"/>
        </w:rPr>
      </w:pPr>
      <w:r>
        <w:rPr>
          <w:rFonts w:eastAsia="Times New Roman" w:ascii="Garamond" w:hAnsi="Garamond"/>
        </w:rPr>
      </w:r>
    </w:p>
    <w:p>
      <w:pPr>
        <w:pStyle w:val="Normal"/>
        <w:jc w:val="both"/>
        <w:rPr>
          <w:rFonts w:ascii="Garamond" w:hAnsi="Garamond" w:eastAsia="Times New Roman"/>
        </w:rPr>
      </w:pPr>
      <w:r>
        <w:rPr>
          <w:rFonts w:eastAsia="Times New Roman" w:ascii="Garamond" w:hAnsi="Garamond"/>
        </w:rPr>
      </w:r>
    </w:p>
    <w:p>
      <w:pPr>
        <w:pStyle w:val="Normal"/>
        <w:jc w:val="both"/>
        <w:rPr>
          <w:rFonts w:ascii="Garamond" w:hAnsi="Garamond" w:eastAsia="Times New Roman"/>
        </w:rPr>
      </w:pPr>
      <w:r>
        <w:rPr>
          <w:rFonts w:eastAsia="Times New Roman" w:ascii="Garamond" w:hAnsi="Garamond"/>
        </w:rPr>
      </w:r>
    </w:p>
    <w:tbl>
      <w:tblPr>
        <w:tblW w:w="15229" w:type="dxa"/>
        <w:jc w:val="left"/>
        <w:tblInd w:w="75" w:type="dxa"/>
        <w:tblBorders>
          <w:left w:val="single" w:sz="4" w:space="0" w:color="00000A"/>
          <w:bottom w:val="single" w:sz="4" w:space="0" w:color="00000A"/>
          <w:right w:val="single" w:sz="4" w:space="0" w:color="00000A"/>
          <w:insideH w:val="single" w:sz="4" w:space="0" w:color="00000A"/>
          <w:insideV w:val="single" w:sz="4" w:space="0" w:color="00000A"/>
        </w:tblBorders>
        <w:tblCellMar>
          <w:top w:w="0" w:type="dxa"/>
          <w:left w:w="65" w:type="dxa"/>
          <w:bottom w:w="0" w:type="dxa"/>
          <w:right w:w="70" w:type="dxa"/>
        </w:tblCellMar>
        <w:tblLook w:firstRow="1" w:noVBand="1" w:lastRow="0" w:firstColumn="1" w:lastColumn="0" w:noHBand="0" w:val="04a0"/>
      </w:tblPr>
      <w:tblGrid>
        <w:gridCol w:w="1763"/>
        <w:gridCol w:w="1351"/>
        <w:gridCol w:w="2331"/>
        <w:gridCol w:w="5532"/>
        <w:gridCol w:w="2267"/>
        <w:gridCol w:w="1984"/>
      </w:tblGrid>
      <w:tr>
        <w:trPr>
          <w:trHeight w:val="1263" w:hRule="atLeast"/>
        </w:trPr>
        <w:tc>
          <w:tcPr>
            <w:tcW w:w="15228" w:type="dxa"/>
            <w:gridSpan w:val="6"/>
            <w:tcBorders>
              <w:left w:val="single" w:sz="4" w:space="0" w:color="00000A"/>
              <w:bottom w:val="single" w:sz="4" w:space="0" w:color="00000A"/>
              <w:right w:val="single" w:sz="4" w:space="0" w:color="00000A"/>
              <w:insideH w:val="single" w:sz="4" w:space="0" w:color="00000A"/>
              <w:insideV w:val="single" w:sz="4" w:space="0" w:color="00000A"/>
            </w:tcBorders>
            <w:shd w:color="000000" w:fill="F2F2F2" w:val="clear"/>
            <w:tcMar>
              <w:left w:w="65" w:type="dxa"/>
            </w:tcMar>
            <w:vAlign w:val="center"/>
          </w:tcPr>
          <w:p>
            <w:pPr>
              <w:pStyle w:val="Normal"/>
              <w:jc w:val="center"/>
              <w:rPr>
                <w:rFonts w:ascii="Times New Roman" w:hAnsi="Times New Roman" w:eastAsia="Times New Roman" w:cs="Times New Roman"/>
                <w:b/>
                <w:b/>
                <w:bCs/>
                <w:color w:val="000000"/>
                <w:sz w:val="22"/>
                <w:szCs w:val="22"/>
              </w:rPr>
            </w:pPr>
            <w:r>
              <w:rPr>
                <w:rFonts w:eastAsia="Times New Roman" w:cs="Calibri" w:ascii="Calibri" w:hAnsi="Calibri" w:asciiTheme="majorHAnsi" w:cstheme="majorHAnsi" w:hAnsiTheme="majorHAnsi"/>
                <w:b/>
                <w:bCs/>
                <w:color w:val="000000"/>
                <w:sz w:val="32"/>
                <w:szCs w:val="32"/>
              </w:rPr>
              <w:t>ELENCO DEGLI OBBLIGHI DI PUBBLICAZIONE con indicazione Responsabili</w:t>
            </w:r>
          </w:p>
        </w:tc>
      </w:tr>
      <w:tr>
        <w:trPr>
          <w:trHeight w:val="1860" w:hRule="atLeast"/>
        </w:trPr>
        <w:tc>
          <w:tcPr>
            <w:tcW w:w="1763" w:type="dxa"/>
            <w:tcBorders>
              <w:left w:val="single" w:sz="4" w:space="0" w:color="00000A"/>
              <w:bottom w:val="single" w:sz="4" w:space="0" w:color="00000A"/>
              <w:right w:val="single" w:sz="4" w:space="0" w:color="00000A"/>
              <w:insideH w:val="single" w:sz="4" w:space="0" w:color="00000A"/>
              <w:insideV w:val="single" w:sz="4" w:space="0" w:color="00000A"/>
            </w:tcBorders>
            <w:shd w:color="000000" w:fill="F2F2F2" w:val="clear"/>
            <w:tcMar>
              <w:left w:w="65" w:type="dxa"/>
            </w:tcM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Denominazione sotto-sezione livello 1 (Macrofamiglie)</w:t>
            </w:r>
          </w:p>
        </w:tc>
        <w:tc>
          <w:tcPr>
            <w:tcW w:w="1351" w:type="dxa"/>
            <w:tcBorders>
              <w:bottom w:val="single" w:sz="4" w:space="0" w:color="00000A"/>
              <w:right w:val="single" w:sz="4" w:space="0" w:color="00000A"/>
              <w:insideH w:val="single" w:sz="4" w:space="0" w:color="00000A"/>
              <w:insideV w:val="single" w:sz="4" w:space="0" w:color="00000A"/>
            </w:tcBorders>
            <w:shd w:color="000000" w:fill="F2F2F2" w:val="cle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Denominazione sotto-sezione 2 livello (Tipologie di dati)</w:t>
            </w:r>
          </w:p>
        </w:tc>
        <w:tc>
          <w:tcPr>
            <w:tcW w:w="2331" w:type="dxa"/>
            <w:tcBorders>
              <w:bottom w:val="single" w:sz="4" w:space="0" w:color="00000A"/>
              <w:right w:val="single" w:sz="4" w:space="0" w:color="00000A"/>
              <w:insideH w:val="single" w:sz="4" w:space="0" w:color="00000A"/>
              <w:insideV w:val="single" w:sz="4" w:space="0" w:color="00000A"/>
            </w:tcBorders>
            <w:shd w:color="000000" w:fill="F2F2F2" w:val="cle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Denominazione del singolo obbligo</w:t>
            </w:r>
          </w:p>
        </w:tc>
        <w:tc>
          <w:tcPr>
            <w:tcW w:w="5532" w:type="dxa"/>
            <w:tcBorders>
              <w:bottom w:val="single" w:sz="4" w:space="0" w:color="00000A"/>
              <w:right w:val="single" w:sz="4" w:space="0" w:color="00000A"/>
              <w:insideH w:val="single" w:sz="4" w:space="0" w:color="00000A"/>
              <w:insideV w:val="single" w:sz="4" w:space="0" w:color="00000A"/>
            </w:tcBorders>
            <w:shd w:color="000000" w:fill="F2F2F2" w:val="cle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Contenuti dell'obbligo</w:t>
            </w:r>
          </w:p>
        </w:tc>
        <w:tc>
          <w:tcPr>
            <w:tcW w:w="2267" w:type="dxa"/>
            <w:tcBorders>
              <w:bottom w:val="single" w:sz="4" w:space="0" w:color="00000A"/>
              <w:right w:val="single" w:sz="4" w:space="0" w:color="00000A"/>
              <w:insideH w:val="single" w:sz="4" w:space="0" w:color="00000A"/>
              <w:insideV w:val="single" w:sz="4" w:space="0" w:color="00000A"/>
            </w:tcBorders>
            <w:shd w:color="000000" w:fill="F2F2F2" w:val="cle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Responsabile trasmissione</w:t>
            </w:r>
          </w:p>
        </w:tc>
        <w:tc>
          <w:tcPr>
            <w:tcW w:w="1984" w:type="dxa"/>
            <w:tcBorders>
              <w:bottom w:val="single" w:sz="4" w:space="0" w:color="00000A"/>
              <w:right w:val="single" w:sz="4" w:space="0" w:color="00000A"/>
              <w:insideH w:val="single" w:sz="4" w:space="0" w:color="00000A"/>
              <w:insideV w:val="single" w:sz="4" w:space="0" w:color="00000A"/>
            </w:tcBorders>
            <w:shd w:color="000000" w:fill="F2F2F2" w:val="clear"/>
            <w:vAlign w:val="center"/>
          </w:tcPr>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t>Responsabile pubblicazione</w:t>
            </w:r>
          </w:p>
          <w:p>
            <w:pPr>
              <w:pStyle w:val="Normal"/>
              <w:jc w:val="center"/>
              <w:rPr>
                <w:rFonts w:ascii="Times New Roman" w:hAnsi="Times New Roman" w:eastAsia="Times New Roman" w:cs="Times New Roman"/>
                <w:b/>
                <w:b/>
                <w:bCs/>
                <w:color w:val="000000"/>
                <w:sz w:val="22"/>
                <w:szCs w:val="22"/>
              </w:rPr>
            </w:pPr>
            <w:r>
              <w:rPr>
                <w:rFonts w:eastAsia="Times New Roman" w:cs="Times New Roman" w:ascii="Times New Roman" w:hAnsi="Times New Roman"/>
                <w:b/>
                <w:bCs/>
                <w:color w:val="000000"/>
                <w:sz w:val="22"/>
                <w:szCs w:val="22"/>
              </w:rPr>
            </w:r>
          </w:p>
        </w:tc>
      </w:tr>
      <w:tr>
        <w:trPr>
          <w:trHeight w:val="1244"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Disposizioni generali</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triennale per la prevenzione della corruzione e della trasparenza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triennale per la prevenzione della corruzione e della trasparenza (PTPCT)</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Piano triennale per la prevenzione della corruzione e della trasparenza e suoi allegati, le misure integrative di prevenzione della corruzione individuate ai sensi dell'articolo 1,comma 2-bis della legge n. 190 del 2012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97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generali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Riferimenti normativi su organizzazione e attivita'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Riferimenti normativi con i relativi </w:t>
            </w:r>
            <w:r>
              <w:rPr>
                <w:rFonts w:eastAsia="Times New Roman" w:cs="Times New Roman" w:ascii="Times New Roman" w:hAnsi="Times New Roman"/>
                <w:i/>
                <w:iCs/>
                <w:sz w:val="22"/>
                <w:szCs w:val="22"/>
              </w:rPr>
              <w:t>link</w:t>
            </w:r>
            <w:r>
              <w:rPr>
                <w:rFonts w:eastAsia="Times New Roman" w:cs="Times New Roman" w:ascii="Times New Roman" w:hAnsi="Times New Roman"/>
                <w:sz w:val="22"/>
                <w:szCs w:val="22"/>
              </w:rPr>
              <w:t xml:space="preserve"> alle norme di legge statale pubblicate nella banca dati "Normattiva" che regolano l'istituzione, l'organizzazione e l'attivita' delle pubbliche amministrazioni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Atti amministrativi generali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Direttive, circolari, programmi, istruzioni e ogni atto che dispone in generale sulla organizzazione, sulle funzioni, sugli obiettivi, sui procedimenti, ovvero nei quali si determina l'interpretazione di norme giuridiche che riguardano o dettano disposizioni per l'applicazione di esse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109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Documenti di programmazione strategico-gestionale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Direttive ministri, documento di programmazione, obiettivi strategici in materia di prevenzione della corruzione e trasparenza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Statuti e leggi regionali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Estremi e testi ufficiali aggiornati degli Statuti e delle norme di legge regionali, che regolano le funzioni, l'organizzazione e lo svolgimento delle attivita' di competenza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12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Codice disciplinare e codice di condotta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bottom"/>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Codice disciplinare, recante l'indicazione delle infrazioni del codice disciplinare e relative sanzioni (pubblicazione on line in alternativa all'affissione in luogo accessibile a tutti - art. 7, l. n. 300/1970). Codice di condotta inteso quale codice di comportamento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112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Oneri informativi per cittadini e imprese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Scadenzario obblighi amministrativi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Scadenzario con l'indicazione delle date di efficacia dei nuovi obblighi amministrativi a carico di cittadini e imprese introdotti dalle amministrazioni secondo le modalita' definite con DPCM 8 novembre 2013</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14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Oneri informativi per cittadini e imprese</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Regolamenti ministeriali o interministeriali, provvedimenti amministrativi a carattere generale adottati dalle amministrazioni dello Stato per regolare l'esercizio di poteri autorizzatori, concessori o certificatori, nonchè l'accesso ai servizi pubblici ovvero la concessione di benefici con allegato elenco di tutti gli oneri informativi gravanti sui cittadini e sulle imprese introdotti o eliminati con i medesimi atti</w:t>
            </w:r>
          </w:p>
        </w:tc>
        <w:tc>
          <w:tcPr>
            <w:tcW w:w="2267"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63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Burocrazia zero</w:t>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Burocrazia zero</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Casi in cui il rilascio delle autorizzazioni di competenza è sostituito da una comunicazione dell'interessato</w:t>
            </w:r>
          </w:p>
        </w:tc>
        <w:tc>
          <w:tcPr>
            <w:tcW w:w="2267"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110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Attivita' soggette a controllo</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delle attivita' delle imprese soggette a controllo (ovvero per le quali le pubbliche amministrazioni competenti ritengono necessarie l'autorizzazione, la segnalazione certificata di inizio attivita' o la mera comunicazione)</w:t>
            </w:r>
          </w:p>
        </w:tc>
        <w:tc>
          <w:tcPr>
            <w:tcW w:w="2267"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9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Organizzazione</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spacing w:before="0" w:after="24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Titolari di incarichi politici, di amministrazione, di direzione o di governo</w:t>
              <w:b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Organi di indirizzo politico e di amministrazione e gestione, con l'indicazione delle rispettive competenze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rPr>
              <w:t xml:space="preserve">Responsabile del procedimento - Dirigente P.O. di ciascuna unita' organizzativa, identificabile dagli atti di incarico - assegnazione all'unita' medesima </w:t>
            </w:r>
          </w:p>
        </w:tc>
      </w:tr>
      <w:tr>
        <w:trPr>
          <w:trHeight w:val="27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Titolari di incarichi politici di cui all'art. 14, co. 1, del dlgs n. 33/2013 </w:t>
              <w:br/>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Atto di nomina o di proclamazione, con l'indicazione della durata dell'incarico o del mandato elettivo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5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4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9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1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7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dichiarazione concernente diritti reali su beni immobili e su beni mobili iscritti in pubblici registri, titolarita' di imprese, azioni di societa', quote di partecipazione a societa', esercizio di funzioni di amministratore o di sindaco di societa', con l'apposizione della formula “sul mio onore affermo che la dichiarazione corrisponde al vero” [Per il soggetto, il coniuge non separato e i parenti entro il secondo grado, ove gli stessi vi consentano (NB: dando eventualmente evidenza del mancato consenso) e riferita al momento dell'assunzione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2)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16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3)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4)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Titolari di incarichi di amministrazione, di direzione o di governo di cui all'art. 14, co. 1-bis, del dlgs n. 33/2013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Atto di nomina o di proclamazione, con l'indicazione della durata dell'incarico o del mandato elettivo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31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dichiarazione concernente diritti reali su beni immobili e su beni mobili iscritti in pubblici registri, titolarita' di imprese, azioni di societa', quote di partecipazione a societa', esercizio di funzioni di amministratore o di sindaco di societa', con l'apposizione della formula “sul mio onore affermo che la dichiarazione corrisponde al vero” [Per il soggetto, il coniuge non separato e i parenti entro il secondo grado, ove gli stessi vi consentano (NB: dando eventualmente evidenza del mancato consenso) e riferita al momento dell'assunzione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2)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8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3)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4)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6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Cessati dall'incarico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Atto di nomina, con l'indicazione della durata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8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5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8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0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1) copie delle dichiarazioni dei redditi riferiti al periodo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1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2) copia della dichiarazione dei redditi successiva al termine dell'incarico o carica, entro un mese dalla scadenza del termine di legge per la presentazione della dichiarazione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84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3)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riferimento al periodo dell'incarico (con allegate copie delle dichiarazioni relative a finanziamenti e contributi per un importo che nell'anno superi 5.000 €)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2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bottom"/>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dichiarazione concernente le variazioni della situazione patrimoniale intervenute dopo l'ultima attestazione [Per il soggetto, il coniuge non separato e i parenti entro il secondo grado ove gli stessi vi consentano (NB: dando eventualmente evidenza del mancato consenso)]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72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Sanzioni per mancata comunicazione dei dati </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Sanzioni per mancata o incompleta comunicazione dei dati da parte dei titolari di incarichi politici, di amministrazione, di direzione o di governo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sanzionatori a carico del responsabile della mancata o incompleta comunicazione dei dati di cui all'articolo 14, concernenti la situazione patrimoniale complessiva del titolare dell'incarico al momento dell'assunzione della carica, la titolarita' di imprese, le partecipazioni azionarie proprie nonchè tutti i compensi cui da' diritto l'assunzione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3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Rendiconti gruppi consiliari regionali/provinciali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Rendiconti gruppi consiliari regionali/provinciali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Rendiconti di esercizio annuale dei gruppi consiliari regionali e provinciali, con evidenza delle risorse trasferite o assegnate a ciascun gruppo, con indicazione del titolo di trasferimento e dell'impiego delle risorse utilizzate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degli organi di controllo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e relazioni degli organi di controllo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Articolazione degli uffici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Articolazione degli uffici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Indicazione delle competenze di ciascun ufficio, anche di livello dirigenziale non generale, i nomi dei dirigenti responsabili dei singoli uffici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Organigramma</w:t>
              <w:br/>
              <w:t>(da pubblicare sotto forma di organigramma, in modo tale che a ciascun ufficio sia assegnato un link ad una pagina contenente tutte le informazioni previste dalla norma)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Illustrazione in forma semplificata, ai fini della piena accessibilita' e comprensibilita' dei dati, dell'organizzazione dell'amministrazione, mediante l'organigramma o analoghe rappresentazioni grafiche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3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Nomi dei dirigenti responsabili dei singoli uffici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6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Telefono e posta elettronica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Telefono e posta elettronica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completo dei numeri di telefono e delle caselle di posta elettronica istituzionali e delle caselle di posta elettronica certificata dedicate, cui il cittadino possa rivolgersi per qualsiasi richiesta inerente i compiti istituzionali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0"/>
                <w:szCs w:val="20"/>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705"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Consulenti e collaboratori</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Titolari di incarichi di collaborazione o consulenza</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Consulenti e collaboratori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Estremi degli atti di conferimento di incarichi di collaborazione o di consulenza a soggetti esterni a qualsiasi titolo (compresi quelli affidati con contratto di collaborazione coordinata e continuativa) con indicazione dei soggetti percettori, della ragione dell'incarico e dell'ammontare erogato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 ciascun titolare di 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curriculum vitae, redatto in conformita' al vigente modello europeo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dati relativi allo svolgimento di incarichi o alla titolarita' di cariche in enti di diritto privato regolati o finanziati dalla pubblica amministrazione o allo svolgimento di attivita' professionali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compensi comunque denominati, relativi al rapporto di lavoro, di consulenza o di collaborazione (compresi quelli affidati con contratto di collaborazione coordinata e continuativa), con specifica evidenza delle eventuali componenti variabili o legate alla valutazione del risultato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1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Tabelle relative agli elenchi dei consulenti con indicazione di oggetto, durata e compenso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8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Attestazione dell'avvenuta verifica dell'insussistenza di situazioni, anche potenziali, di conflitto di interesse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Personale</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Titolari di incarichi dirigenziali amministrativi di vertice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Incarichi amministrativi di vertice </w:t>
            </w:r>
          </w:p>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 ciascun titolare di 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54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Atto di conferimento, con l'indicazione della durata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5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 redatto in conformita' al vigente modello europeo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8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dell'incarico (con specifica evidenza delle eventuali componenti variabili o legate alla valutazione del risultato)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0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8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6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dichiarazione concernente diritti reali su beni immobili e su beni mobili iscritti in pubblici registri, titolarita' di imprese, azioni di societa', quote di partecipazione a societa', esercizio di funzioni di amministratore o di sindaco di societa', con l'apposizione della formula “sul mio onore affermo che la dichiarazione corrisponde al vero” [Per il soggetto, il coniuge non separato e i parenti entro il secondo grado, ove gli stessi vi consentano (NB: dando eventualmente evidenza del mancato consenso) e riferita al momento dell'assunzione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9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2)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7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6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inconferibilita'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7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incompatibilita' al conferimento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degli emolumenti percepiti a carico della finanza pubblica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2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Titolari di incarichi dirigenziali</w:t>
              <w:br/>
              <w:t xml:space="preserve">(dirigenti non generali)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Incarichi dirigenziali, a qualsiasi titolo conferiti, ivi inclusi quelli conferiti discrezionalmente dall'organo di indirizzo politico senza procedure pubbliche di selezione e titolari di posizione organizzativa con funzioni dirigenziali</w:t>
              <w:br/>
              <w:t>(da pubblicare in tabelle che distinguano le seguenti situazioni: dirigenti, dirigenti individuati discrezionalmente, titolari di posizione organizzativa con funzioni dirigenziali)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 ciascun titolare di 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5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Atto di conferimento, con l'indicazione della durata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07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 redatto in conformita' al vigente modello europeo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dell'incarico (con specifica evidenza delle eventuali componenti variabili o legate alla valutazione del risultato)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6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9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7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dichiarazione concernente diritti reali su beni immobili e su beni mobili iscritti in pubblici registri, titolarita' di imprese, azioni di societa', quote di partecipazione a societa', esercizio di funzioni di amministratore o di sindaco di societa', con l'apposizione della formula “sul mio onore affermo che la dichiarazione corrisponde al vero” [Per il soggetto, il coniuge non separato e i parenti entro il secondo grado, ove gli stessi vi consentano (NB: dando eventualmente evidenza del mancato consenso) e riferita al momento dell'assunzione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8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8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inconferibilita'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incompatibilita' al conferimento dell'incarico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0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degli emolumenti percepiti a carico della finanza pubblica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9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Elenco posizioni dirigenziali discrezionali</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delle posizioni dirigenziali, integrato dai relativi titoli e curricula, attribuite a persone, anche esterne alle pubbliche amministrazioni, individuate discrezionalmente dall'organo di indirizzo politico senza procedure pubbliche di selezione</w:t>
            </w:r>
          </w:p>
        </w:tc>
        <w:tc>
          <w:tcPr>
            <w:tcW w:w="2267"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Posti di funzione disponibili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Numero e tipologia dei posti di funzione che si rendono disponibili nella dotazione organica e relativi criteri di scelta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Ruolo dirigenti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Ruolo dei dirigenti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4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Dirigenti cessati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Dirigenti cessati dal rapporto di lavoro (documentazione da pubblicare sul sito web)</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Atto di nomina o di proclamazione, con l'indicazione della durata dell'incarico o del mandato elettivo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Curriculum vitae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 di qualsiasi natura connessi all'assunzione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Importi di viaggi di servizio e missioni pagati con fondi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all'assunzione di altre cariche, presso enti pubblici o privati, e relativi compensi a qualsiasi titolo corrisposti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eventuali incarichi con oneri a carico della finanza pubblica e indicazione dei compensi spettanti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8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1) copie delle dichiarazioni dei redditi riferiti al periodo dell'incarico;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Garamond" w:hAnsi="Garamond" w:eastAsia="Times New Roman" w:cs="Calibri"/>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Garamond" w:hAnsi="Garamond" w:eastAsia="Times New Roman" w:cs="Calibri"/>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04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2) copia della dichiarazione dei redditi successiva al termine dell'incarico o carica, entro un mese dalla scadenza del termine di legge per la presentazione della dichairazione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6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3) dichiarazione concernente le variazioni della situazione patrimoniale intervenute dopo l'ultima attestazione [Per il soggetto, il coniuge non separato e i parenti entro il secondo grado, ove gli stessi vi consentano (NB: dando eventualmente evidenza del mancato consenso)]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9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Sanzioni per mancata comunicazione dei dati </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Sanzioni per mancata o incompleta comunicazione dei dati da parte dei titolari di incarichi dirigenziali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sanzionatori a carico del responsabile della mancata o incompleta comunicazione dei dati di cui all'articolo 14, concernenti la situazione patrimoniale complessiva del titolare dell'incarico al momento dell'assunzione della carica, la titolarita' di imprese, le partecipazioni azionarie proprie nonchè tutti i compensi cui da' diritto l'assuzione della carica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Posizioni organizzative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Posizioni organizzative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Curricula dei titolari di posizioni organizzative redatti in conformita' al vigente modello europeo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90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Dotazione organica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Conto annuale del personale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Conto annuale del personale e relative spese sostenute, nell'ambito del quale sono rappresentati i dati relativi alla dotazione organica e al personale effettivamente in servizio e al relativo costo, con l'indicazione della distribuzione tra le diverse qualifiche e aree professionali, con particolare riguardo al personale assegnato agli uffici di diretta collaborazione con gli organi di indirizzo politico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Costo personale tempo indeterminato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Costo complessivo del personale a tempo indeterminato in servizio, articolato per aree professionali, con particolare riguardo al personale assegnato agli uffici di diretta collaborazione con gli organi di indirizzo politico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Personale non a tempo indeterminato</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Personale non a tempo indeterminato</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Personale con rapporto di lavoro non a tempo indeterminato, ivi compreso il personale assegnato agli uffici di diretta collaborazione con gli organi di indirizzo politico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9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Costo del personale non a tempo indeterminato</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Costo complessivo del personale con rapporto di lavoro non a tempo indeterminato, con particolare riguardo al personale assegnato agli uffici di diretta collaborazione con gli organi di indirizzo politico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Tassi di assenza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Tassi di assenza trimestrali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Tassi di assenza del personale distinti per uffici di livello dirigenziale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Incarichi conferiti e autorizzati ai dipendenti (dirigenti e non dirigenti)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Incarichi conferiti e autorizzati ai dipendenti (dirigenti e non dirigenti)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degli incarichi conferiti o autorizzati a ciascun dipendente (dirigente e non dirigente), con l'indicazione dell'oggetto, della durata e del compenso spettante per ogni incarico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8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Contrattazione collettiva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Contrattazione collettiva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Riferimenti necessari per la consultazione dei contratti e accordi collettivi nazionali ed eventuali interpretazioni autentiche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8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Contrattazione integrativa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Contratti integrativi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Contratti integrativi stipulati, con la relazione tecnico-finanziaria e quella illustrativa, certificate dagli organi di controllo (collegio dei revisori dei conti, collegio sindacale, uffici centrali di bilancio o analoghi organi previsti dai rispettivi ordinamenti)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9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Costi contratti integrativi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Specifiche informazioni sui costi della contrattazione integrativa, certificate dagli organi di controllo interno, trasmesse al Ministero dell'Economia e delle finanze, che predispone, allo scopo, uno specifico modello di rilevazione, d'intesa con la Corte dei conti e con la Presidenza del Consiglio dei Ministri - Dipartimento della funzione pubblica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4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OIV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OIV</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Nominativi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Curricula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Compensi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3" w:hRule="atLeast"/>
        </w:trPr>
        <w:tc>
          <w:tcPr>
            <w:tcW w:w="1763" w:type="dxa"/>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Bandi di concorso</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Bandi di concorso</w:t>
              <w:br/>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Bandi di concorso per il reclutamento, a qualsiasi titolo, di personale presso l'amministrazione nonche' i criteri di valutazione della Commissione e le tracce delle prove scritte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90" w:hRule="atLeast"/>
        </w:trPr>
        <w:tc>
          <w:tcPr>
            <w:tcW w:w="1763" w:type="dxa"/>
            <w:vMerge w:val="restart"/>
            <w:tcBorders>
              <w:left w:val="single" w:sz="4" w:space="0" w:color="00000A"/>
              <w:bottom w:val="single" w:sz="4" w:space="0" w:color="000001"/>
              <w:right w:val="single" w:sz="4" w:space="0" w:color="00000A"/>
              <w:insideH w:val="single" w:sz="4" w:space="0" w:color="000001"/>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Performance</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Sistema di misurazione e valutazione della Performance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Sistema di misurazione e valutazione della Performance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Sistema di misurazione e valutazione della Performance (art. 7, d.lgs. n. 150/2009)</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della Performance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della Performance/Piano esecutivo di gestione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della Performance (art. 10, d.lgs. 150/2009)</w:t>
              <w:br/>
              <w:t>Piano esecutivo di gestione (per gli enti locali) (art. 169, c. 3-bis, d.lgs. n. 267/2000)</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78"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sulla Performance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sulla Performance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sulla Performance (art. 10, d.lgs. 150/2009)</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5"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dei premi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dei premi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dei premi collegati alla performance stanziati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5"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dei premi effettivamente distribuiti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31"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ai premi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ai premi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Criteri definiti nei sistemi di misurazione e valutazione della performance per l'assegnazione del trattamento accessorio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31"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Distribuzione del trattamento accessorio, in forma aggregata, al fine di dare conto del livello di selettivita' utilizzato nella distribuzione dei premi e degli incentivi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77"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Grado di differenziazione dell'utilizzo della premialita' sia per i dirigenti sia per i dipendenti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785" w:hRule="atLeast"/>
        </w:trPr>
        <w:tc>
          <w:tcPr>
            <w:tcW w:w="1763" w:type="dxa"/>
            <w:vMerge w:val="continue"/>
            <w:tcBorders>
              <w:left w:val="single" w:sz="4" w:space="0" w:color="00000A"/>
              <w:bottom w:val="single" w:sz="4" w:space="0" w:color="000001"/>
              <w:right w:val="single" w:sz="4" w:space="0" w:color="00000A"/>
              <w:insideH w:val="single" w:sz="4" w:space="0" w:color="000001"/>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Benessere organizzativo</w:t>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Benessere organizzativo</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Livelli di benessere organizzativo</w:t>
            </w:r>
          </w:p>
        </w:tc>
        <w:tc>
          <w:tcPr>
            <w:tcW w:w="2267"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spacing w:before="0" w:after="240"/>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Enti controllati</w:t>
              <w:br/>
              <w:b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Enti pubblici vigilati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Enti pubblici vigilati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degli enti pubblici, comunque denominati, istituiti, vigilati e finanziati dall'amministrazione ovvero per i quali l'amministrazione abbia il potere di nomina degli amministratori dell'ente, con l'indicazione delle funzioni attribuite e delle attivita' svolte in favore dell'amministrazione o delle attivita' di servizio pubblico affidate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 ciascuno degli 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74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ragione sociale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4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misura dell'eventuale partecipazione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9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durata dell'impegno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8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onere complessivo a qualsiasi titolo gravante per l'anno sul bilancio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5) numero dei rappresentanti dell'amministrazione negli organi di governo e trattamento economico complessivo a ciascuno di essi spettante (con l'esclusione dei rimborsi per vitto e alloggio)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6) risultati di bilancio degli ultimi tre esercizi finanziari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7) incarichi di amministratore dell'ente e relativo trattamento economico complessivo (con l'esclusione dei rimborsi per vitto e alloggio)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inconferibilita' dell'incarico (</w:t>
            </w:r>
            <w:r>
              <w:rPr>
                <w:rFonts w:eastAsia="Times New Roman" w:cs="Times New Roman" w:ascii="Times New Roman" w:hAnsi="Times New Roman"/>
                <w:i/>
                <w:iCs/>
                <w:sz w:val="22"/>
                <w:szCs w:val="22"/>
                <w:u w:val="single"/>
              </w:rPr>
              <w:t>link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incompatibilita' al conferimento dell'incarico (</w:t>
            </w:r>
            <w:r>
              <w:rPr>
                <w:rFonts w:eastAsia="Times New Roman" w:cs="Times New Roman" w:ascii="Times New Roman" w:hAnsi="Times New Roman"/>
                <w:i/>
                <w:iCs/>
                <w:sz w:val="22"/>
                <w:szCs w:val="22"/>
              </w:rPr>
              <w:t>l</w:t>
            </w:r>
            <w:r>
              <w:rPr>
                <w:rFonts w:eastAsia="Times New Roman" w:cs="Times New Roman" w:ascii="Times New Roman" w:hAnsi="Times New Roman"/>
                <w:i/>
                <w:iCs/>
                <w:sz w:val="22"/>
                <w:szCs w:val="22"/>
                <w:u w:val="single"/>
              </w:rPr>
              <w:t>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9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Collegamento con i siti istituzionali degli enti pubblici vigilati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Societa' partecipate</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Dati societa' partecipate</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delle societa' di cui l'amministrazione detiene direttamente quote di partecipazione anche minoritaria, con l'indicazione dell'entita', delle funzioni attribuite e delle attivita' svolte in favore dell'amministrazione o delle attivita' di servizio pubblico affidate, ad esclusione delle societa', partecipate da amministrazioni pubbliche, con azioni quotate in mercati regolamentati italiani o di altri paesi dell'Unione europea, e loro controllate. (art. 22, c. 6, d.lgs. n. 33/2013)</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6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Per ciascuna delle societa':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5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ragione sociale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4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misura dell'eventuale partecipazione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3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durata dell'impegno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onere complessivo a qualsiasi titolo gravante per l'anno sul bilancio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5) numero dei rappresentanti dell'amministrazione negli organi di governo e trattamento economico complessivo a ciascuno di essi spettante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0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6) risultati di bilancio degli ultimi tre esercizi finanziari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8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7) incarichi di amministratore della societa' e relativo trattamento economico complessivo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inconferibilita' dell'incarico (</w:t>
            </w:r>
            <w:r>
              <w:rPr>
                <w:rFonts w:eastAsia="Times New Roman" w:cs="Times New Roman" w:ascii="Times New Roman" w:hAnsi="Times New Roman"/>
                <w:i/>
                <w:iCs/>
                <w:sz w:val="22"/>
                <w:szCs w:val="22"/>
                <w:u w:val="single"/>
              </w:rPr>
              <w:t>link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incompatibilita' al conferimento dell'incarico (</w:t>
            </w:r>
            <w:r>
              <w:rPr>
                <w:rFonts w:eastAsia="Times New Roman" w:cs="Times New Roman" w:ascii="Times New Roman" w:hAnsi="Times New Roman"/>
                <w:i/>
                <w:iCs/>
                <w:sz w:val="22"/>
                <w:szCs w:val="22"/>
              </w:rPr>
              <w:t>l</w:t>
            </w:r>
            <w:r>
              <w:rPr>
                <w:rFonts w:eastAsia="Times New Roman" w:cs="Times New Roman" w:ascii="Times New Roman" w:hAnsi="Times New Roman"/>
                <w:i/>
                <w:iCs/>
                <w:sz w:val="22"/>
                <w:szCs w:val="22"/>
                <w:u w:val="single"/>
              </w:rPr>
              <w:t>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5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Collegamento con i siti istituzionali delle societa' partecipate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in materia di costituzione di societa' a partecipazione pubblica, acquisto di partecipazioni in societa' gia' costituite, gestione delle partecipazioni pubbliche, alienazione di partecipazioni sociali, quotazione di societa' a controllo pubblico in mercati regolamentati e razionalizzazione periodica delle partecipazioni pubbliche, previsti dal decreto legislativo adottato ai sensi dell'articolo 18 della legge 7 agosto 2015, n. 124 (art. 20 d.lgs 175/2016)</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1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con cui le amministrazioni pubbliche socie fissano obiettivi specifici, annuali e pluriennali, sul complesso delle spese di funzionamento, ivi comprese quelle per il personale, delle societa' controllate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Provvedimenti con cui le societa' a controllo pubblico garantiscono il concreto perseguimento degli obiettivi specifici, annuali e pluriennali, sul complesso delle spese di funzionamento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Enti di diritto privato controllati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Enti di diritto privato controllati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degli enti di diritto privato, comunque denominati, in controllo dell'amministrazione, con l'indicazione delle funzioni attribuite e delle attivita' svolte in favore dell'amministrazione o delle attivita' di servizio pubblico affidate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b/>
                <w:b/>
                <w:sz w:val="22"/>
                <w:szCs w:val="22"/>
              </w:rPr>
            </w:pPr>
            <w:r>
              <w:rPr>
                <w:rFonts w:eastAsia="Times New Roman" w:cs="Times New Roman" w:ascii="Times New Roman" w:hAnsi="Times New Roman"/>
                <w:b/>
                <w:sz w:val="22"/>
                <w:szCs w:val="22"/>
              </w:rPr>
              <w:t>Per ciascuno degli 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5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ragione sociale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9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misura dell'eventuale partecipazione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3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durata dell'impegno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3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onere complessivo a qualsiasi titolo gravante per l'anno sul bilancio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5) numero dei rappresentanti dell'amministrazione negli organi di governo e trattamento economico complessivo a ciascuno di essi spettante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0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6) risultati di bilancio degli ultimi tre esercizi finanziari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7) incarichi di amministratore dell'ente e relativo trattamento economico complessivo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6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inconferibilita' dell'incarico (</w:t>
            </w:r>
            <w:r>
              <w:rPr>
                <w:rFonts w:eastAsia="Times New Roman" w:cs="Times New Roman" w:ascii="Times New Roman" w:hAnsi="Times New Roman"/>
                <w:i/>
                <w:iCs/>
                <w:sz w:val="22"/>
                <w:szCs w:val="22"/>
                <w:u w:val="single"/>
              </w:rPr>
              <w:t>link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Dichiarazione sulla insussistenza di una delle cause di incompatibilita' al conferimento dell'incarico (</w:t>
            </w:r>
            <w:r>
              <w:rPr>
                <w:rFonts w:eastAsia="Times New Roman" w:cs="Times New Roman" w:ascii="Times New Roman" w:hAnsi="Times New Roman"/>
                <w:i/>
                <w:iCs/>
                <w:sz w:val="22"/>
                <w:szCs w:val="22"/>
              </w:rPr>
              <w:t>l</w:t>
            </w:r>
            <w:r>
              <w:rPr>
                <w:rFonts w:eastAsia="Times New Roman" w:cs="Times New Roman" w:ascii="Times New Roman" w:hAnsi="Times New Roman"/>
                <w:i/>
                <w:iCs/>
                <w:sz w:val="22"/>
                <w:szCs w:val="22"/>
                <w:u w:val="single"/>
              </w:rPr>
              <w:t>ink</w:t>
            </w:r>
            <w:r>
              <w:rPr>
                <w:rFonts w:eastAsia="Times New Roman" w:cs="Times New Roman" w:ascii="Times New Roman" w:hAnsi="Times New Roman"/>
                <w:sz w:val="22"/>
                <w:szCs w:val="22"/>
                <w:u w:val="single"/>
              </w:rPr>
              <w:t xml:space="preserve"> al sito dell'ente</w:t>
            </w:r>
            <w:r>
              <w:rPr>
                <w:rFonts w:eastAsia="Times New Roman" w:cs="Times New Roman" w:ascii="Times New Roman" w:hAnsi="Times New Roman"/>
                <w:sz w:val="22"/>
                <w:szCs w:val="22"/>
              </w:rPr>
              <w:t>)</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9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Collegamento con i siti istituzionali degli enti di diritto privato controllati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Rappresentazione grafica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Rappresentazione grafica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Una o più rappresentazioni grafiche che evidenziano i rapporti tra l'amministrazione e gli enti pubblici vigilati, le societa' partecipate, gli enti di diritto privato controllati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Attivita' e procedimenti</w:t>
            </w:r>
          </w:p>
        </w:tc>
        <w:tc>
          <w:tcPr>
            <w:tcW w:w="1351"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5532"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267"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fill="auto"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Tipologie di procedimento</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Tipologie di procedimento</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Per ciascuna tipologia di procedimento: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breve descrizione del procedimento con indicazione di tutti i riferimenti normativi utili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5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unita' organizzative responsabili dell'istruttoria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3) l'ufficio del procedimento, unitamente ai recapiti telefonici e alla casella di posta elettronica istituzionale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ove diverso, l'ufficio competente all'adozione del provvedimento finale, con l'indicazione del nome del responsabile dell'ufficio unitamente ai rispettivi recapiti telefonici e alla casella di posta elettronica istituzionale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9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5) modalita' con le quali gli interessati possono ottenere le informazioni relative ai procedimenti in corso che li riguardino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6) termine fissato in sede di disciplina normativa del procedimento per la conclusione con l'adozione di un provvedimento espresso e ogni altro termine procedimentale rilevante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7) procedimenti per i quali il provvedimento dell'amministrazione può essere sostituito da una dichiarazione dell'interessato ovvero il procedimento può concludersi con il silenzio-assenso dell'amministrazione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8) strumenti di tutela amministrativa e giurisdizionale, riconosciuti dalla legge in favore dell'interessato, nel corso del procedimento nei confronti del provvedimento finale ovvero nei casi di adozione del provvedimento oltre il termine predeterminato per la sua conclusione e i modi per attivarli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1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9) </w:t>
            </w:r>
            <w:r>
              <w:rPr>
                <w:rFonts w:eastAsia="Times New Roman" w:cs="Times New Roman" w:ascii="Times New Roman" w:hAnsi="Times New Roman"/>
                <w:i/>
                <w:iCs/>
                <w:sz w:val="22"/>
                <w:szCs w:val="22"/>
              </w:rPr>
              <w:t>link</w:t>
            </w:r>
            <w:r>
              <w:rPr>
                <w:rFonts w:eastAsia="Times New Roman" w:cs="Times New Roman" w:ascii="Times New Roman" w:hAnsi="Times New Roman"/>
                <w:sz w:val="22"/>
                <w:szCs w:val="22"/>
              </w:rPr>
              <w:t xml:space="preserve"> di accesso al servizio on line, ove sia gia' disponibile in rete, o tempi previsti per la sua attivazione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8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10) modalita' per l'effettuazione dei pagamenti eventualmente necessari, con i codici IBAN identificativi del conto di pagamento, ovvero di imputazione del versamento in Tesoreria, tramite i quali i soggetti versanti possono effettuare i pagamenti mediante bonifico bancario o postale, ovvero gli identificativi del conto corrente postale sul quale i soggetti versanti possono effettuare i pagamenti mediante bollettino postale, nonchè i codici identificativi del pagamento da indicare obbligatoriamente per il versamento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11) nome del soggetto a cui è attribuito, in caso di inerzia, il potere sostitutivo, nonchè modalita' per attivare tale potere, con indicazione dei recapiti telefonici e delle caselle di posta elettronica istituzionale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Per i procedimenti ad istanza di parte: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atti e documenti da allegare all'istanza e modulistica necessaria, compresi i fac-simile per le autocertificazioni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5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uffici ai quali rivolgersi per informazioni, orari e modalita' di accesso con indicazione degli indirizzi, recapiti telefonici e caselle di posta elettronica istituzionale a cui presentare le istanze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76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right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Dichiarazioni sostitutive e acquisizione d'ufficio dei dati</w:t>
            </w:r>
          </w:p>
        </w:tc>
        <w:tc>
          <w:tcPr>
            <w:tcW w:w="2331" w:type="dxa"/>
            <w:tcBorders>
              <w:right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Recapiti dell'ufficio responsabile</w:t>
            </w:r>
          </w:p>
        </w:tc>
        <w:tc>
          <w:tcPr>
            <w:tcW w:w="5532" w:type="dxa"/>
            <w:tcBorders>
              <w:right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Recapiti telefonici e casella di posta elettronica istituzionale dell'ufficio responsabile per le attivita' volte a gestire, garantire e verificare la trasmissione dei dati o l'accesso diretto degli stessi da parte delle amministrazioni procedenti all'acquisizione d'ufficio dei dati e allo svolgimento dei controlli sulle dichiarazioni sostitutive</w:t>
            </w:r>
          </w:p>
        </w:tc>
        <w:tc>
          <w:tcPr>
            <w:tcW w:w="2267" w:type="dxa"/>
            <w:tcBorders>
              <w:right w:val="single" w:sz="4" w:space="0" w:color="00000A"/>
              <w:insideV w:val="single" w:sz="4" w:space="0" w:color="00000A"/>
            </w:tcBorders>
            <w:shd w:color="auto"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right w:val="single" w:sz="4" w:space="0" w:color="00000A"/>
              <w:insideV w:val="single" w:sz="4" w:space="0" w:color="00000A"/>
            </w:tcBorders>
            <w:shd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84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Provvedimenti</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organi indirizzo politico</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spacing w:before="0" w:after="240"/>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organi indirizzo politico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dei provvedimenti, con particolare riferimento ai provvedimenti finali dei procedimenti di: scelta del contraente per l'affidamento di lavori, forniture e servizi, anche con riferimento alla modalita' di selezione prescelta (</w:t>
            </w:r>
            <w:r>
              <w:rPr>
                <w:rFonts w:eastAsia="Times New Roman" w:cs="Times New Roman" w:ascii="Times New Roman" w:hAnsi="Times New Roman"/>
                <w:i/>
                <w:iCs/>
                <w:sz w:val="22"/>
                <w:szCs w:val="22"/>
              </w:rPr>
              <w:t>link</w:t>
            </w:r>
            <w:r>
              <w:rPr>
                <w:rFonts w:eastAsia="Times New Roman" w:cs="Times New Roman" w:ascii="Times New Roman" w:hAnsi="Times New Roman"/>
                <w:sz w:val="22"/>
                <w:szCs w:val="22"/>
              </w:rPr>
              <w:t xml:space="preserve"> alla sotto-sezione "bandi di gara e contratti"); accordi stipulati dall'amministrazione con soggetti privati o con altre amministrazioni pubbliche.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right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organi indirizzo politico</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right w:val="single" w:sz="4" w:space="0" w:color="00000A"/>
              <w:insideV w:val="single" w:sz="4" w:space="0" w:color="00000A"/>
            </w:tcBorders>
            <w:shd w:color="000000" w:fill="BFBFBF" w:val="clear"/>
            <w:vAlign w:val="center"/>
          </w:tcPr>
          <w:p>
            <w:pPr>
              <w:pStyle w:val="Normal"/>
              <w:spacing w:before="0" w:after="240"/>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organi indirizzo politico</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right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Elenco dei provvedimenti, con particolare riferimento ai provvedimenti finali dei procedimenti di: autorizzazione o concessione; concorsi e prove selettive per l'assunzione del personale e progressioni di carriera.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highlight w:val="yellow"/>
              </w:rPr>
              <w:br/>
              <w:t xml:space="preserve"> </w:t>
            </w:r>
          </w:p>
        </w:tc>
        <w:tc>
          <w:tcPr>
            <w:tcW w:w="2267" w:type="dxa"/>
            <w:tcBorders>
              <w:right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right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right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dirigenti amministrativi</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vMerge w:val="restart"/>
            <w:tcBorders>
              <w:right w:val="single" w:sz="4" w:space="0" w:color="00000A"/>
              <w:insideV w:val="single" w:sz="4" w:space="0" w:color="00000A"/>
            </w:tcBorders>
            <w:shd w:color="000000" w:fill="FFFFFF" w:val="clear"/>
            <w:vAlign w:val="center"/>
          </w:tcPr>
          <w:p>
            <w:pPr>
              <w:pStyle w:val="Normal"/>
              <w:spacing w:before="0" w:after="240"/>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dirigenti amministrativi</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Elenco dei provvedimenti, con particolare riferimento ai provvedimenti finali dei procedimenti di: scelta del contraente per l'affidamento di lavori, forniture e servizi, anche con riferimento alla modalita' di selezione prescelta (link alla sotto-sezione "bandi di gara e contratti"); accordi stipulati dall'amministrazione con soggetti privati o con altre amministrazioni pubbliche.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right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right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Bandi di concorso per il reclutamento a qualsiasi titolo di nonchè i criteri di valutazione della commissione e le tracce delle prove scritte</w:t>
            </w:r>
          </w:p>
        </w:tc>
        <w:tc>
          <w:tcPr>
            <w:tcW w:w="2267"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4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Scelta del contraente per l'affidamento dei lavori servizi e forniture</w:t>
              <w:br/>
              <w:t xml:space="preserve"> Delibera a contrarre</w:t>
            </w:r>
          </w:p>
        </w:tc>
        <w:tc>
          <w:tcPr>
            <w:tcW w:w="2267"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4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dirigenti amministrativi</w:t>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spacing w:before="0" w:after="240"/>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dirigenti amministrativi</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Elenco dei provvedimenti, con particolare riferimento ai provvedimenti finali dei procedimenti di: autorizzazione o concessione; concorsi e prove selettive per l'assunzione del personale e progressioni di carriera. </w:t>
            </w:r>
          </w:p>
        </w:tc>
        <w:tc>
          <w:tcPr>
            <w:tcW w:w="2267"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95"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Controlli sulle imprese</w:t>
            </w:r>
          </w:p>
        </w:tc>
        <w:tc>
          <w:tcPr>
            <w:tcW w:w="135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Tipologie di controllo</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delle tipologie di controllo a cui sono assoggettate le imprese in ragione della dimensione e del settore di attivita', con l'indicazione per ciascuna di esse dei criteri e delle relative modalita' di svolgimento</w:t>
            </w:r>
          </w:p>
        </w:tc>
        <w:tc>
          <w:tcPr>
            <w:tcW w:w="2267"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2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Obblighi e adempimenti</w:t>
            </w:r>
          </w:p>
        </w:tc>
        <w:tc>
          <w:tcPr>
            <w:tcW w:w="5532" w:type="dxa"/>
            <w:tcBorders>
              <w:bottom w:val="single" w:sz="4" w:space="0" w:color="00000A"/>
              <w:right w:val="single" w:sz="4" w:space="0" w:color="00000A"/>
              <w:insideH w:val="single" w:sz="4" w:space="0" w:color="00000A"/>
              <w:insideV w:val="single" w:sz="4" w:space="0" w:color="00000A"/>
            </w:tcBorders>
            <w:shd w:color="000000" w:fill="BFBFB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Elenco degli obblighi e degli adempimenti oggetto delle attivita' di controllo che le imprese sono tenute a rispettare per ottemperare alle disposizioni normative </w:t>
            </w:r>
          </w:p>
        </w:tc>
        <w:tc>
          <w:tcPr>
            <w:tcW w:w="2267" w:type="dxa"/>
            <w:tcBorders>
              <w:left w:val="single" w:sz="4" w:space="0" w:color="00000A"/>
              <w:bottom w:val="single" w:sz="4" w:space="0" w:color="00000A"/>
              <w:right w:val="single" w:sz="4" w:space="0" w:color="00000A"/>
              <w:insideH w:val="single" w:sz="4" w:space="0" w:color="00000A"/>
              <w:insideV w:val="single" w:sz="4" w:space="0" w:color="00000A"/>
            </w:tcBorders>
            <w:shd w:color="000000" w:fill="BFBFBF" w:val="clear"/>
            <w:tcMar>
              <w:left w:w="65" w:type="dxa"/>
            </w:tcMar>
            <w:vAlign w:val="center"/>
          </w:tcPr>
          <w:p>
            <w:pPr>
              <w:pStyle w:val="Normal"/>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6"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Bandi di gara e contratti</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sulle singole procedure in formato tabellare</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Dati previsti dall'articolo 1, comma 32, della legge 6 novembre 2012, n. 190 Informazioni sulle singole procedure</w:t>
              <w:br/>
              <w:t>(da pubblicare secondo le "Specifiche tecniche per la pubblicazione dei dati ai sensi dell'art. 1, comma 32, della Legge n. 190/2012", adottate secondo quanto indicato nella delib. Anac 39/2016)</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Codice Identificativo Gara (CIG)</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4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Struttura proponente, Oggetto del bando, Procedura di scelta del contraente, Elenco degli operatori invitati a presentare offerte/Numero di offerenti che hanno partecipato al procedimento, Aggiudicatario, Importo di aggiudicazione, Tempi di completamento dell'opera servizio o fornitura, Importo delle somme liquidate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32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Tabelle riassuntive rese liberamente scaricabili in un formato digitale standard aperto con informazioni sui contratti relative all'anno precedente (nello specifico: Codice Identificativo Gara (CIG), struttura proponente, oggetto del bando, procedura di scelta del contraente, elenco degli operatori invitati a presentare offerte/numero di offerenti che hanno partecipato al procedimento, aggiudicatario, importo di aggiudicazione, tempi di completamento dell'opera servizio o fornitura, importo delle somme liquidate)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3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delle amministrazioni aggiudicatrici e degli enti aggiudicatori distintamente per ogni procedura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relativi alla programmazione di lavori, opere, servizi e forniture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Programma biennale degli acquisti di beni e servizi, programma triennale dei lavori pubblici e relativi aggiornamenti annuali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5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b/>
                <w:b/>
                <w:sz w:val="22"/>
                <w:szCs w:val="22"/>
              </w:rPr>
            </w:pPr>
            <w:r>
              <w:rPr>
                <w:rFonts w:eastAsia="Times New Roman" w:cs="Times New Roman" w:ascii="Times New Roman" w:hAnsi="Times New Roman"/>
                <w:b/>
                <w:sz w:val="22"/>
                <w:szCs w:val="22"/>
              </w:rPr>
              <w:t>Per ciascuna procedura: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95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relativi alle procedure per l'affidamento di appalti pubblici di servizi, forniture, lavori e opere, di concorsi pubblici di progettazione, di concorsi di idee e di concessioni. Compresi quelli tra enti nell'ambito del settore pubblico di cui all'art. 5 del dlgs n. 50/2016</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 xml:space="preserve">Avvisi di preinformazione </w:t>
            </w:r>
            <w:r>
              <w:rPr>
                <w:rFonts w:eastAsia="Times New Roman" w:cs="Times New Roman" w:ascii="Times New Roman" w:hAnsi="Times New Roman"/>
                <w:sz w:val="22"/>
                <w:szCs w:val="22"/>
              </w:rPr>
              <w:t>- Avvisi di preinformazione (art. 70, c. 1, 2 e 3, dlgs n. 50/2016); Bandi ed avvisi di preinformazioni (art. 141, dlgs n. 50/2016)</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3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Delibera a contrarre o atto equivalente</w:t>
            </w:r>
            <w:r>
              <w:rPr>
                <w:rFonts w:eastAsia="Times New Roman" w:cs="Times New Roman" w:ascii="Times New Roman" w:hAnsi="Times New Roman"/>
                <w:sz w:val="22"/>
                <w:szCs w:val="22"/>
              </w:rPr>
              <w:t xml:space="preserve"> (per tutte le procedure)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86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Avvisi e bandi</w:t>
            </w:r>
            <w:r>
              <w:rPr>
                <w:rFonts w:eastAsia="Times New Roman" w:cs="Times New Roman" w:ascii="Times New Roman" w:hAnsi="Times New Roman"/>
                <w:sz w:val="22"/>
                <w:szCs w:val="22"/>
              </w:rPr>
              <w:t xml:space="preserve"> - </w:t>
              <w:br/>
              <w:t xml:space="preserve">Avviso (art. 19, c. 1, dlgs n. 50/2016); Avviso di indagini di mercato (art. 36, c. 7, dlgs n. 50/2016 e Linee guida ANAC); </w:t>
              <w:br/>
              <w:t xml:space="preserve">Avviso di formazione elenco operatori economici e pubblicazione elenco (art. 36, c. 7, dlgs n. 50/2016 e Linee guida ANAC); Bandi ed avvisi (art. 36, c. 9, dlgs n. 50/2016); </w:t>
              <w:br/>
              <w:t xml:space="preserve">Bandi ed avvisi (art. 73, c. 1, e 4, dlgs n. 50/2016); </w:t>
              <w:br/>
              <w:t xml:space="preserve">Bandi ed avvisi (art. 127, c. 1, dlgs n. 50/2016); Avviso periodico indicativo (art. 127, c. 2, dlgs n. 50/2016); </w:t>
              <w:br/>
              <w:t xml:space="preserve">Avviso relativo all'esito della procedura; </w:t>
              <w:br/>
              <w:t xml:space="preserve">Pubblicazione a livello nazionale di bandi e avvisi; </w:t>
              <w:br/>
              <w:t xml:space="preserve">Bando di concorso (art. 153, c. 1, dlgs n. 50/2016); </w:t>
              <w:br/>
              <w:t xml:space="preserve">Avviso di aggiudicazione (art. 153, c. 2, dlgs n. 50/2016); </w:t>
              <w:br/>
              <w:t xml:space="preserve">Bando di concessione, invito a presentare offerta, documenti di gara (art. 171, c. 1 e 5, dlgs n. 50/2016); </w:t>
              <w:br/>
              <w:t>Avviso in merito alla modifica dell'ordine di importanza dei criteri, Bando di concessione (art. 173, c. 3, dlgs n. 50/2016);</w:t>
              <w:br/>
              <w:t xml:space="preserve">Bando di gara (art. 183, c. 2, dlgs n. 50/2016); </w:t>
              <w:br/>
              <w:t>Avviso costituzione del privilegio (art. 186, c. 3, dlgs n. 50/2016); Bando di gara (art. 188, c. 3, dlgs n. 50/2016)</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1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Avviso sui risultati della procedura di affidamento</w:t>
            </w:r>
            <w:r>
              <w:rPr>
                <w:rFonts w:eastAsia="Times New Roman" w:cs="Times New Roman" w:ascii="Times New Roman" w:hAnsi="Times New Roman"/>
                <w:sz w:val="22"/>
                <w:szCs w:val="22"/>
              </w:rPr>
              <w:t xml:space="preserve"> - Avviso sui risultati della procedura di affidamento con indicazione dei soggetti invitati (art. 36, c. 2, dlgs n. 50/2016); Bando di concorso e avviso sui risultati del concorso (art. 141, dlgs n. 50/2016); Avvisi relativi l'esito della procedura, possono essere raggruppati su base trimestrale (art. 142, c. 3, dlgs n. 50/2016); Elenchi dei verbali delle commissioni di gara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4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Avvisi sistema di qualificazione</w:t>
            </w:r>
            <w:r>
              <w:rPr>
                <w:rFonts w:eastAsia="Times New Roman" w:cs="Times New Roman" w:ascii="Times New Roman" w:hAnsi="Times New Roman"/>
                <w:sz w:val="22"/>
                <w:szCs w:val="22"/>
              </w:rPr>
              <w:t xml:space="preserve"> - Avviso sull'esistenza di un sistema di qualificazione, di cui all'Allegato XIV, parte II, lettera H; Bandi, avviso periodico indicativo; avviso sull'esistenza di un sistema di qualificazione; Avviso di aggiudicazione (art. 140, c. 1, 3 e 4, dlgs n. 50/2016)</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37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 xml:space="preserve">Affidamenti </w:t>
            </w:r>
            <w:r>
              <w:rPr>
                <w:rFonts w:eastAsia="Times New Roman" w:cs="Times New Roman" w:ascii="Times New Roman" w:hAnsi="Times New Roman"/>
                <w:sz w:val="22"/>
                <w:szCs w:val="22"/>
              </w:rPr>
              <w:br/>
              <w:t xml:space="preserve">Gli atti relativi agli affidamenti diretti di lavori, servizi e forniture di somma urgenza e di protezione civile, con specifica dell'affidatario, delle modalita' della scelta e delle motivazioni che non hanno consentito il ricorso alle procedure ordinarie (art. 163, c. 10, dlgs n. 50/2016); </w:t>
              <w:br/>
              <w:t>tutti gli atti connessi agli affidamenti in house in formato open data di appalti pubblici e contratti di concessione tra enti (art. 192 c. 3, dlgs n. 50/2016)</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2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b/>
                <w:bCs/>
                <w:sz w:val="22"/>
                <w:szCs w:val="22"/>
              </w:rPr>
              <w:t>Informazioni ulteriori</w:t>
            </w:r>
            <w:r>
              <w:rPr>
                <w:rFonts w:eastAsia="Times New Roman" w:cs="Times New Roman" w:ascii="Times New Roman" w:hAnsi="Times New Roman"/>
                <w:sz w:val="22"/>
                <w:szCs w:val="22"/>
              </w:rPr>
              <w:t xml:space="preserve"> - Elenco ufficiali operatori economici (art. 90, c. 10, dlgs n. 50/2016)</w:t>
            </w:r>
          </w:p>
        </w:tc>
        <w:tc>
          <w:tcPr>
            <w:tcW w:w="2267" w:type="dxa"/>
            <w:tcBorders>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fill="auto"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05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Provvedimento che determina le esclusioni dalla procedura di affidamento e le ammissioni all'esito delle valutazioni dei requisiti soggettivi, economico-finanziari e tecnico-professionali.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di esclusione e di ammissione (entro 2 giorni dalla loro adozione)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9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Composizione della commissione giudicatrice e i curricula dei suoi componenti.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Composizione della commissione giudicatrice e i curricula dei suoi componenti.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Contratti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Testo integrale di tutti i contratti di acquisto di beni e di servizi di importo unitario stimato superiore a 1 milione di euro in esecuzione del programma biennale e suoi aggiornamenti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02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Resoconti della gestione finanziaria dei contratti al termine della loro esecuzione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Resoconti della gestione finanziaria dei contratti al termine della loro esecuzione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25"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spacing w:before="0" w:after="240"/>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Sovvenzioni, contributi, sussidi, vantaggi economici</w:t>
              <w:br/>
              <w:br/>
              <w:b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Criteri e modalita'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Criteri e modalita'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con i quali sono determinati i criteri e le modalita' cui le amministrazioni devono attenersi per la concessione di sovvenzioni, contributi, sussidi ed ausili finanziari e l'attribuzione di vantaggi economici di qualunque genere a persone ed enti pubblici e privati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1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concessione</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di concessione</w:t>
              <w:br/>
              <w:t>(da pubblicare in tabelle creando un collegamento con la pagina nella quale sono riportati i dati dei relativi provvedimenti finali)</w:t>
              <w:br/>
              <w:br/>
              <w:t>(NB: è fatto divieto di diffusione di dati da cui sia possibile ricavare informazioni relative allo stato di salute e alla situazione di disagio economico-sociale degli interessati, come previsto dall'art. 26, c. 4, del d.lgs. n. 33/2013)</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concessione di sovvenzioni, contributi, sussidi ed ausili finanziari alle imprese e comunque di vantaggi economici di qualunque genere a persone ed enti pubblici e privati di importo superiore a mille euro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3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b/>
                <w:b/>
                <w:sz w:val="22"/>
                <w:szCs w:val="22"/>
              </w:rPr>
            </w:pPr>
            <w:r>
              <w:rPr>
                <w:rFonts w:eastAsia="Times New Roman" w:cs="Times New Roman" w:ascii="Times New Roman" w:hAnsi="Times New Roman"/>
                <w:b/>
                <w:sz w:val="22"/>
                <w:szCs w:val="22"/>
              </w:rPr>
              <w:t>Per ciascun atto: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nome dell'impresa o dell'ente e i rispettivi dati fiscali o il nome di altro soggetto beneficiario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importo del vantaggio economico corrisposto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norma o titolo a base dell'attribuzione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ufficio e funzionario o dirigente responsabile del relativo procedimento amministrativo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5) modalita' seguita per l'individuazione del beneficiario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0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6) </w:t>
            </w:r>
            <w:r>
              <w:rPr>
                <w:rFonts w:eastAsia="Times New Roman" w:cs="Times New Roman" w:ascii="Times New Roman" w:hAnsi="Times New Roman"/>
                <w:i/>
                <w:iCs/>
                <w:sz w:val="22"/>
                <w:szCs w:val="22"/>
              </w:rPr>
              <w:t>link</w:t>
            </w:r>
            <w:r>
              <w:rPr>
                <w:rFonts w:eastAsia="Times New Roman" w:cs="Times New Roman" w:ascii="Times New Roman" w:hAnsi="Times New Roman"/>
                <w:sz w:val="22"/>
                <w:szCs w:val="22"/>
              </w:rPr>
              <w:t xml:space="preserve"> al progetto selezionato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7) link al curriculum vitae del soggetto incaricato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(in formato tabellare aperto) dei soggetti beneficiari degli atti di concessione di sovvenzioni, contributi, sussidi ed ausili finanziari alle imprese e di attribuzione di vantaggi economici di qualunque genere a persone ed enti pubblici e privati di importo superiore a mille euro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6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Bilanci</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Bilancio preventivo e consuntivo</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Bilancio preventivo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Documenti e allegati del bilancio preventivo, nonché dati relativi al bilancio di previsione di ciascun anno in forma sintetica, aggregata e semplificata, anche con il ricorso a rappresentazioni grafiche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alle entrate e alla spesa dei bilanci preventivi in formato tabellare aperto in modo da consentire l'esportazione, il trattamento e il riutilizzo.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1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Bilancio consuntivo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Documenti e allegati del bilancio consuntivo, nonché dati relativi al bilancio consuntivo di ciascun anno in forma sintetica, aggregata e semplificata, anche con il ricorso a rappresentazioni grafiche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37"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relativi alle entrate e alla spesa dei bilanci consuntivi in formato tabellare aperto in modo da consentire l'esportazione, il trattamento e il riutilizzo.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24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degli indicatori e dei risultati attesi di bilancio</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Piano degli indicatori e dei risultati attesi di bilancio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degli indicatori e risultati attesi di bilancio, con l'integrazione delle risultanze osservate in termini di raggiungimento dei risultati attesi e le motivazioni degli eventuali scostamenti e gli aggiornamenti in corrispondenza di ogni nuovo esercizio di bilancio, sia tramite la specificazione di nuovi obiettivi e indicatori, sia attraverso l'aggiornamento dei valori obiettivo e la soppressione di obiettivi gia' raggiunti oppure oggetto di ripianificazione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37"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Beni immobili e gestione patrimonio</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Patrimonio immobiliare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Patrimonio immobiliare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identificative degli immobili posseduti e detenuti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6"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Canoni di locazione o affitto</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Canoni di locazione o affitto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Canoni di locazione o di affitto versati o percepiti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76"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Controlli e rilievi sull'amministrazione</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Organismi indipendenti di valutazione, nuclei di valutazione o altri organismi con funzioni analoghe</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Atti degli Organismi indipendenti di valutazione, nuclei di valutazione o altri organismi con funzioni analoghe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Attestazione dell'OIV o di altra struttura analoga nell'assolvimento degli obblighi di pubblicazione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0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Documento dell'OIV di validazione della Relazione sulla Performance (art. 14, c. 4, lett. c), d.lgs. n. 150/2009)</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8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dell'OIV sul funzionamento complessivo del Sistema di valutazione, trasparenza e integrita' dei controlli interni (art. 14, c. 4, lett. a), d.lgs. n. 150/2009)</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Altri atti degli organismi indipendenti di valutazione , nuclei di valutazione o altri organismi con funzioni analoghe, procedendo all'indicazione in forma anonima dei dati personali eventualmente presenti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4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Organi di revisione amministrativa e contabile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Relazioni degli organi di revisione amministrativa e contabile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Relazioni degli organi di revisione amministrativa e contabile al bilancio di previsione o budget, alle relative variazioni e al conto consuntivo o bilancio di esercizio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8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Corte dei conti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Rilievi Corte dei conti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Tutti i rilievi della Corte dei conti ancorchè non recepiti riguardanti l'organizzazione e l'attivita' delle amministrazioni stesse e dei loro uffici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92"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Servizi erogati </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Carta dei servizi e standard di qualita'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Carta dei servizi e standard di qualita'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Carta dei servizi o documento contenente gli standard di qualita' dei servizi pubblici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1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Class action</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Class action</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Notizia del ricorso in giudizio proposto dai titolari di interessi giuridicamente rilevanti ed omogenei nei confronti delle amministrazioni e dei concessionari di servizio pubblico al fine di ripristinare il corretto svolgimento della funzione o la corretta erogazione di un servizio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1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Sentenza di definizione del giudizio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Misure adottate in ottemperanza alla sentenza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2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Costi contabilizzati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Costi contabilizzati</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Costi contabilizzati dei servizi erogati agli utenti, sia finali che intermedi e il relativo andamento nel tempo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0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Liste di attesa</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Liste di attesa (da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Criteri di formazione delle liste di attesa, tempi di attesa previsti e tempi medi effettivi di attesa per ciascuna tipologia di prestazione erogata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7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Servizi in rete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trike/>
                <w:sz w:val="22"/>
                <w:szCs w:val="22"/>
              </w:rPr>
              <w:br/>
            </w:r>
            <w:r>
              <w:rPr>
                <w:rFonts w:eastAsia="Times New Roman" w:cs="Times New Roman" w:ascii="Times New Roman" w:hAnsi="Times New Roman"/>
                <w:sz w:val="22"/>
                <w:szCs w:val="22"/>
              </w:rPr>
              <w:t xml:space="preserve"> Risultati delle indagini sulla soddisfazione da parte degli utenti rispetto alla qualita' dei servizi in rete e statistiche di utilizzo dei servizi in rete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Risultati delle rilevazioni sulla soddisfazione da parte degli utenti rispetto alla qualita' dei servizi in rete resi all'utente, anche in termini di fruibilita', accessibilita' e tempestivita', statistiche di utilizzo dei servizi in rete.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05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Pagamenti dell'amministrazione </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sui pagamenti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sui pagamenti  (da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sui propri pagamenti in relazione alla tipologia di spesa sostenuta, all'ambito temporale di riferimento e ai beneficiari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00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Indicatore di tempestivita' dei pagamenti</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Indicatore di tempestivita' dei pagamenti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Indicatore dei tempi medi di pagamento relativi agli acquisti di beni, servizi, prestazioni professionali e forniture (indicatore annuale di tempestivita' dei pagamenti)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41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Indicatore trimestrale di tempestivita' dei pagamenti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0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dei debiti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Ammontare complessivo dei debiti e il numero delle imprese creditrici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98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IBAN e pagamenti informatici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IBAN e pagamenti informatici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Nelle richieste di pagamento: i codici IBAN identificativi del conto di pagamento, ovvero di imputazione del versamento in Tesoreria, tramite i quali i soggetti versanti possono effettuare i pagamenti mediante bonifico bancario o postale, ovvero gli identificativi del conto corrente postale sul quale i soggetti versanti possono effettuare i pagamenti mediante bollettino postale, nonchè i codici identificativi del pagamento da indicare obbligatoriamente per il versamento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84"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Opere pubbliche</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Nuclei di valutazione e verifica degli investimenti pubblici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realtive ai nuclei di valutazione e verifica</w:t>
              <w:br/>
              <w:t>degli investimenti pubblici</w:t>
              <w:br/>
              <w:t xml:space="preserve">(art. 1, l. n. 144/1999)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relative ai nuclei di valutazione e verifica degli investimenti pubblici, incluse le funzioni e i compiti specifici ad essi attribuiti, le procedure e i criteri di individuazione dei componenti e i loro nominativi (obbligo previsto per le amministrazioni centrali e regionali)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8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Atti di programmazione delle opere pubbliche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programmazione delle opere pubbliche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programmazione delle opere pubbliche (</w:t>
            </w:r>
            <w:r>
              <w:rPr>
                <w:rFonts w:eastAsia="Times New Roman" w:cs="Times New Roman" w:ascii="Times New Roman" w:hAnsi="Times New Roman"/>
                <w:i/>
                <w:iCs/>
                <w:sz w:val="22"/>
                <w:szCs w:val="22"/>
              </w:rPr>
              <w:t>link</w:t>
            </w:r>
            <w:r>
              <w:rPr>
                <w:rFonts w:eastAsia="Times New Roman" w:cs="Times New Roman" w:ascii="Times New Roman" w:hAnsi="Times New Roman"/>
                <w:sz w:val="22"/>
                <w:szCs w:val="22"/>
              </w:rPr>
              <w:t xml:space="preserve"> alla sotto-sezione "bandi di gara e contratti").</w:t>
              <w:br/>
              <w:t xml:space="preserve">A titolo esemplificativo: </w:t>
              <w:br/>
              <w:t>- Programma triennale dei lavori pubblici, nonchè i relativi aggiornamenti annuali, ai sensi art. 21 d.lgs. n 50/2016</w:t>
              <w:br/>
              <w:t>- Documento pluriennale di pianificazione ai sensi dell'art. 2 del d.lgs. n. 228/2011, (per i Ministeri)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9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Tempi costi e indicatori di realizzazione delle opere pubbliche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Tempi, costi unitari e indicatori di realizzazione delle opere pubbliche in corso o completate.</w:t>
              <w:br/>
              <w:t>(da pubblicare in tabelle)</w:t>
            </w:r>
          </w:p>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relative ai tempi e agli indicatori di realizzazione delle opere pubbliche in corso o completate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71"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relative ai costi unitari di realizzazione delle opere pubbliche in corso o completate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56"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Pianificazione e governo del territorio</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Pianificazione e governo del territorio</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governo del territorio quali, tra gli altri, piani territoriali, piani di coordinamento, piani paesistici, strumenti urbanistici, generali e di attuazione, nonché le loro varianti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22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Documentazione relativa a ciascun procedimento di presentazione e approvazione delle proposte di trasformazione urbanistica di iniziativa privata o pubblica in variante allo strumento urbanistico generale comunque denominato vigente nonché delle proposte di trasformazione urbanistica di iniziativa privata o pubblica in attuazione dello strumento urbanistico generale vigente che comportino premialita' edificatorie a fronte dell'impegno dei privati alla realizzazione di opere di urbanizzazione extra oneri o della cessione di aree o volumetrie per finalita' di pubblico interesse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Informazioni ambientali</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ambientali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Informazioni ambientali che le amministrazioni detengono ai fini delle proprie attivita' istituzionali: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Stato dell'ambiente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1) Stato degli elementi dell'ambiente, quali l'aria, l'atmosfera, l'acqua, il suolo, il territorio, i siti naturali, compresi gli igrotopi, le zone costiere e marine, la diversita' biologica ed i suoi elementi costitutivi, compresi gli organismi geneticamente modificati, e, inoltre, le interazioni tra questi elementi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Fattori inquinanti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2) Fattori quali le sostanze, l'energia, il rumore, le radiazioni od i rifiuti, anche quelli radioattivi, le emissioni, gli scarichi ed altri rilasci nell'ambiente, che incidono o possono incidere sugli elementi dell'ambiente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Misure incidenti sull'ambiente e relative analisi di impatto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3) Misure, anche amministrative, quali le politiche, le disposizioni legislative, i piani, i programmi, gli accordi ambientali e ogni altro atto, anche di natura amministrativa, nonché le attivita' che incidono o possono incidere sugli elementi e sui fattori dell'ambiente ed analisi costi-benefìci ed altre analisi ed ipotesi economiche usate nell'a'mbito delle stesse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Misure a protezione dell'ambiente e relative analisi di impatto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4) Misure o attivita' finalizzate a proteggere i suddetti elementi ed analisi costi-benefìci ed altre analisi ed ipotesi economiche usate nell'a'mbito delle stesse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Relazioni sull'attuazione della legislazione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5) Relazioni sull'attuazione della legislazione ambientale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77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Stato della salute e della sicurezza umana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6) Stato della salute e della sicurezza umana, compresa la contaminazione della catena alimentare, le condizioni della vita umana, il paesaggio, i siti e gli edifici d'interesse culturale, per quanto influenzabili dallo stato degli elementi dell'ambiente, attraverso tali elementi, da qualsiasi fattore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900"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sullo stato dell'ambiente del Ministero dell'Ambiente e della tutela del territorio</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 xml:space="preserve">Relazione sullo stato dell'ambiente redatta dal Ministero dell'Ambiente e della tutela del territorio </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2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Interventi straordinari e di emergenza</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p>
        </w:tc>
        <w:tc>
          <w:tcPr>
            <w:tcW w:w="233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Interventi straordinari e di emergenza</w:t>
              <w:br/>
              <w:t>(da pubblicare in tabelle)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Provvedimenti adottati concernenti gli interventi straordinari e di emergenza che comportano deroghe alla legislazione vigente, con l'indicazione espressa delle norme di legge eventualmente derogate e dei motivi della deroga, nonché con l'indicazione di eventuali atti amministrativi o giurisdizionali intervenuti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65"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Termini temporali eventualmente fissati per l'esercizio dei poteri di adozione dei provvedimenti straordinari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0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233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Costo previsto degli interventi e costo effettivo sostenuto dall'amministrazione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728"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Altri contenuti </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Prevenzione della Corruzione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triennale per la prevenzione della corruzione e della trasparenza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Piano triennale per la prevenzione della corruzione e della trasparenza e suoi allegati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58"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Responsabile della prevenzione della corruzione e della trasparenza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Responsabile della prevenzione della corruzione e della trasparenza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672"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Relazione del responsabile della prevenzione della corruzione e della trasparenza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Relazione del responsabile della prevenzione della corruzione recante i risultati dell'attivita' svolta (entro il 15 dicembre di ogni anno)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534"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Atti di accertamento delle violazioni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Atti di accertamento delle violazioni delle disposizioni di cui al d.lgs. n. 39/2013</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500"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Altri contenuti </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Accesso civico</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bottom"/>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Accesso civico "semplice"concernente dati, documenti e informazioni soggetti a pubblicazione obbligatoria</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bottom"/>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Nome del Responsabile della prevenzione della corruzione e della trasparenza cui è presentata la richiesta di accesso civico, nonchè modalita' per l'esercizio di tale diritto, con indicazione dei recapiti telefonici e delle caselle di posta elettronica istituzionale e nome del titolare del potere sostitutivo, attivabile nei casi di ritardo o mancata risposta, con indicazione dei recapiti telefonici e delle caselle di posta elettronica istituzionale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1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Accesso civico "generalizzato" concernente dati e documenti ulteriori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Nomi Uffici competenti cui è presentata la richiesta di accesso civico, nonchè modalita' per l'esercizio di tale diritto, con indicazione dei recapiti telefonici e delle caselle di posta elettronica istituzionale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13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Registro degli accessi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Elenco delle richieste di accesso (atti, civico e generalizzato) con indicazione dell'oggetto e della data della richiesta nonché del relativo esito con la data della decisione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415" w:hRule="atLeast"/>
        </w:trPr>
        <w:tc>
          <w:tcPr>
            <w:tcW w:w="1763"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Altri contenuti</w:t>
            </w:r>
          </w:p>
        </w:tc>
        <w:tc>
          <w:tcPr>
            <w:tcW w:w="1351" w:type="dxa"/>
            <w:vMerge w:val="restart"/>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Accessibilita' e Catalogo dei dati, metadati e banche dati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Catalogo dei dati, metadati e delle banche dati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Catalogo dei dati, dei metadati definitivi e delle relative banche dati in possesso delle amministrazioni, da pubblicare anche tramite link al Repertorio nazionale dei dati territoriali (www.rndt.gov.it), al catalogo dei dati della PA e delle banche dati www.dati.gov.it e e http://basidati.agid.gov.it/catalogo gestiti da AGID</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883"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Regolamenti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Regolamenti che disciplinano l'esercizio della facolta' di accesso telematico e il riutilizzo dei dati, fatti salvi i dati presenti in Anagrafe tributaria</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89" w:hRule="atLeast"/>
        </w:trPr>
        <w:tc>
          <w:tcPr>
            <w:tcW w:w="1763"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1351"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vAlign w:val="center"/>
          </w:tcPr>
          <w:p>
            <w:pPr>
              <w:pStyle w:val="Normal"/>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Obiettivi di accessibilita'</w:t>
              <w:br/>
              <w:t xml:space="preserve">(da pubblicare secondo le indicazioni contenute nella circolare dell'Agenzia per l'Italia digitale n. 1/2016 e s.m.i.) </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Obiettivi di accessibilita' dei soggetti disabili agli strumenti informatici per l'anno corrente (entro il 31 marzo di ogni anno) e lo stato di attuazione del "piano per l'utilizzo del telelavoro" nella propria organizzazione</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333" w:hRule="atLeast"/>
        </w:trPr>
        <w:tc>
          <w:tcPr>
            <w:tcW w:w="1763" w:type="dxa"/>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Altri contenuti</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Azioni di sensibilizzazione e rapporti con la societa' civile</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Azioni di sensibilizzazione e rapporti con la societa' civile</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Protocolli d'intesa - Progetti di gemellaggio amministrativo</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r>
        <w:trPr>
          <w:trHeight w:val="1678" w:hRule="atLeast"/>
        </w:trPr>
        <w:tc>
          <w:tcPr>
            <w:tcW w:w="1763" w:type="dxa"/>
            <w:tcBorders>
              <w:left w:val="single" w:sz="4" w:space="0" w:color="00000A"/>
              <w:bottom w:val="single" w:sz="4" w:space="0" w:color="00000A"/>
              <w:right w:val="single" w:sz="4" w:space="0" w:color="00000A"/>
              <w:insideH w:val="single" w:sz="4" w:space="0" w:color="00000A"/>
              <w:insideV w:val="single" w:sz="4" w:space="0" w:color="00000A"/>
            </w:tcBorders>
            <w:shd w:color="000000" w:fill="FFFFFF" w:val="clear"/>
            <w:tcMar>
              <w:left w:w="65" w:type="dxa"/>
            </w:tcM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Altri contenuti</w:t>
            </w:r>
          </w:p>
        </w:tc>
        <w:tc>
          <w:tcPr>
            <w:tcW w:w="135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Dati ulteriori</w:t>
            </w:r>
          </w:p>
        </w:tc>
        <w:tc>
          <w:tcPr>
            <w:tcW w:w="2331"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spacing w:before="0" w:after="240"/>
              <w:rPr>
                <w:rFonts w:ascii="Times New Roman" w:hAnsi="Times New Roman" w:eastAsia="Times New Roman" w:cs="Times New Roman"/>
                <w:sz w:val="22"/>
                <w:szCs w:val="22"/>
              </w:rPr>
            </w:pPr>
            <w:r>
              <w:rPr>
                <w:rFonts w:eastAsia="Times New Roman" w:cs="Times New Roman" w:ascii="Times New Roman" w:hAnsi="Times New Roman"/>
                <w:sz w:val="22"/>
                <w:szCs w:val="22"/>
              </w:rPr>
              <w:t>Dati ulteriori</w:t>
            </w:r>
          </w:p>
        </w:tc>
        <w:tc>
          <w:tcPr>
            <w:tcW w:w="5532"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rPr>
                <w:rFonts w:ascii="Times New Roman" w:hAnsi="Times New Roman" w:eastAsia="Times New Roman" w:cs="Times New Roman"/>
                <w:sz w:val="22"/>
                <w:szCs w:val="22"/>
              </w:rPr>
            </w:pPr>
            <w:r>
              <w:rPr>
                <w:rFonts w:eastAsia="Times New Roman" w:cs="Times New Roman" w:ascii="Times New Roman" w:hAnsi="Times New Roman"/>
                <w:sz w:val="22"/>
                <w:szCs w:val="22"/>
              </w:rPr>
              <w:t>Dati ulteriori</w:t>
            </w:r>
          </w:p>
        </w:tc>
        <w:tc>
          <w:tcPr>
            <w:tcW w:w="2267"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c>
          <w:tcPr>
            <w:tcW w:w="1984" w:type="dxa"/>
            <w:tcBorders>
              <w:bottom w:val="single" w:sz="4" w:space="0" w:color="00000A"/>
              <w:right w:val="single" w:sz="4" w:space="0" w:color="00000A"/>
              <w:insideH w:val="single" w:sz="4" w:space="0" w:color="00000A"/>
              <w:insideV w:val="single" w:sz="4" w:space="0" w:color="00000A"/>
            </w:tcBorders>
            <w:shd w:color="000000" w:fill="FFFFFF" w:val="clear"/>
            <w:vAlign w:val="center"/>
          </w:tcPr>
          <w:p>
            <w:pPr>
              <w:pStyle w:val="Normal"/>
              <w:jc w:val="center"/>
              <w:rPr>
                <w:rFonts w:ascii="Times New Roman" w:hAnsi="Times New Roman" w:eastAsia="Times New Roman" w:cs="Times New Roman"/>
                <w:sz w:val="22"/>
                <w:szCs w:val="22"/>
              </w:rPr>
            </w:pPr>
            <w:r>
              <w:rPr>
                <w:rFonts w:cs="Times New Roman"/>
                <w:sz w:val="20"/>
                <w:szCs w:val="20"/>
              </w:rPr>
              <w:t xml:space="preserve">Responsabile del procedimento - Dirigente P.O. di ciascuna unita' organizzativa, identificabile dagli atti di incarico - assegnazione all'unita' medesima </w:t>
            </w:r>
          </w:p>
        </w:tc>
      </w:tr>
    </w:tbl>
    <w:p>
      <w:pPr>
        <w:pStyle w:val="Normal"/>
        <w:jc w:val="both"/>
        <w:rPr>
          <w:rFonts w:ascii="Garamond" w:hAnsi="Garamond" w:eastAsia="Times New Roman"/>
        </w:rPr>
      </w:pPr>
      <w:r>
        <w:rPr>
          <w:rFonts w:eastAsia="Times New Roman" w:ascii="Garamond" w:hAnsi="Garamond"/>
        </w:rPr>
      </w:r>
    </w:p>
    <w:p>
      <w:pPr>
        <w:pStyle w:val="Normal"/>
        <w:jc w:val="both"/>
        <w:rPr>
          <w:rFonts w:ascii="Garamond" w:hAnsi="Garamond" w:eastAsia="Times New Roman"/>
        </w:rPr>
      </w:pPr>
      <w:r>
        <w:rPr>
          <w:rFonts w:eastAsia="Times New Roman" w:ascii="Garamond" w:hAnsi="Garamond"/>
        </w:rPr>
      </w:r>
    </w:p>
    <w:p>
      <w:pPr>
        <w:pStyle w:val="Normal"/>
        <w:pBdr/>
        <w:jc w:val="both"/>
        <w:rPr/>
      </w:pPr>
      <w:r>
        <w:rPr/>
      </w:r>
    </w:p>
    <w:sectPr>
      <w:footerReference w:type="default" r:id="rId2"/>
      <w:type w:val="nextPage"/>
      <w:pgSz w:orient="landscape" w:w="16838" w:h="11906"/>
      <w:pgMar w:left="720" w:right="720" w:header="0" w:top="720" w:footer="708" w:bottom="765"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Segoe UI">
    <w:charset w:val="00"/>
    <w:family w:val="roman"/>
    <w:pitch w:val="variable"/>
  </w:font>
  <w:font w:name="Liberation Sans">
    <w:altName w:val="Arial"/>
    <w:charset w:val="00"/>
    <w:family w:val="swiss"/>
    <w:pitch w:val="variable"/>
  </w:font>
  <w:font w:name="Tahoma">
    <w:charset w:val="00"/>
    <w:family w:val="roman"/>
    <w:pitch w:val="variable"/>
  </w:font>
  <w:font w:name="Garamond">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ind w:right="360" w:hanging="0"/>
      <w:rPr/>
    </w:pPr>
    <w:r>
      <w:rPr/>
    </w:r>
    <w:r>
      <mc:AlternateContent>
        <mc:Choice Requires="wps">
          <w:drawing>
            <wp:anchor behindDoc="0" distT="0" distB="0" distL="0" distR="0" simplePos="0" locked="0" layoutInCell="1" allowOverlap="1" relativeHeight="61">
              <wp:simplePos x="0" y="0"/>
              <wp:positionH relativeFrom="margin">
                <wp:align>right</wp:align>
              </wp:positionH>
              <wp:positionV relativeFrom="paragraph">
                <wp:posOffset>635</wp:posOffset>
              </wp:positionV>
              <wp:extent cx="169545" cy="178435"/>
              <wp:effectExtent l="0" t="0" r="0" b="0"/>
              <wp:wrapSquare wrapText="largest"/>
              <wp:docPr id="1" name="Cornice1"/>
              <a:graphic xmlns:a="http://schemas.openxmlformats.org/drawingml/2006/main">
                <a:graphicData uri="http://schemas.microsoft.com/office/word/2010/wordprocessingShape">
                  <wps:wsp>
                    <wps:cNvSpPr txBox="1"/>
                    <wps:spPr>
                      <a:xfrm>
                        <a:off x="0" y="0"/>
                        <a:ext cx="169545" cy="178435"/>
                      </a:xfrm>
                      <a:prstGeom prst="rect"/>
                      <a:solidFill>
                        <a:srgbClr val="FFFFFF">
                          <a:alpha val="0"/>
                        </a:srgbClr>
                      </a:solidFill>
                    </wps:spPr>
                    <wps:txbx>
                      <w:txbxContent>
                        <w:p>
                          <w:pPr>
                            <w:pStyle w:val="Pidipagina"/>
                            <w:pBdr/>
                            <w:rPr/>
                          </w:pPr>
                          <w:r>
                            <w:rPr>
                              <w:rStyle w:val="Pagenumber"/>
                            </w:rPr>
                            <w:fldChar w:fldCharType="begin"/>
                          </w:r>
                          <w:r>
                            <w:instrText> PAGE </w:instrText>
                          </w:r>
                          <w:r>
                            <w:fldChar w:fldCharType="separate"/>
                          </w:r>
                          <w:r>
                            <w:t>60</w:t>
                          </w:r>
                          <w:r>
                            <w:fldChar w:fldCharType="end"/>
                          </w:r>
                        </w:p>
                      </w:txbxContent>
                    </wps:txbx>
                    <wps:bodyPr anchor="t" lIns="0" tIns="0" rIns="0" bIns="0">
                      <a:spAutoFit/>
                    </wps:bodyPr>
                  </wps:wsp>
                </a:graphicData>
              </a:graphic>
            </wp:anchor>
          </w:drawing>
        </mc:Choice>
        <mc:Fallback>
          <w:pict>
            <v:rect fillcolor="#FFFFFF" style="position:absolute;rotation:0;width:13.35pt;height:14.05pt;mso-wrap-distance-left:0pt;mso-wrap-distance-right:0pt;mso-wrap-distance-top:0pt;mso-wrap-distance-bottom:0pt;margin-top:0.05pt;mso-position-vertical-relative:text;margin-left:756.55pt;mso-position-horizontal:right;mso-position-horizontal-relative:margin">
              <v:fill opacity="0f"/>
              <v:textbox inset="0in,0in,0in,0in">
                <w:txbxContent>
                  <w:p>
                    <w:pPr>
                      <w:pStyle w:val="Pidipagina"/>
                      <w:pBdr/>
                      <w:rPr/>
                    </w:pPr>
                    <w:r>
                      <w:rPr>
                        <w:rStyle w:val="Pagenumber"/>
                      </w:rPr>
                      <w:fldChar w:fldCharType="begin"/>
                    </w:r>
                    <w:r>
                      <w:instrText> PAGE </w:instrText>
                    </w:r>
                    <w:r>
                      <w:fldChar w:fldCharType="separate"/>
                    </w:r>
                    <w:r>
                      <w:t>60</w:t>
                    </w:r>
                    <w:r>
                      <w:fldChar w:fldCharType="end"/>
                    </w:r>
                  </w:p>
                </w:txbxContent>
              </v:textbox>
              <w10:wrap type="square" side="largest"/>
            </v:rect>
          </w:pict>
        </mc:Fallback>
      </mc:AlternateContent>
    </w:r>
  </w:p>
</w:ftr>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4"/>
        <w:szCs w:val="24"/>
        <w:lang w:val="it-IT" w:eastAsia="it-IT"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jc w:val="left"/>
    </w:pPr>
    <w:rPr>
      <w:rFonts w:ascii="Cambria" w:hAnsi="Cambria" w:eastAsia="ＭＳ 明朝" w:cs="" w:asciiTheme="minorHAnsi" w:cstheme="minorBidi" w:eastAsiaTheme="minorEastAsia" w:hAnsiTheme="minorHAnsi"/>
      <w:color w:val="auto"/>
      <w:sz w:val="24"/>
      <w:szCs w:val="24"/>
      <w:lang w:val="it-IT" w:eastAsia="it-IT" w:bidi="ar-SA"/>
    </w:rPr>
  </w:style>
  <w:style w:type="character" w:styleId="DefaultParagraphFont" w:default="1">
    <w:name w:val="Default Paragraph Font"/>
    <w:uiPriority w:val="1"/>
    <w:semiHidden/>
    <w:unhideWhenUsed/>
    <w:qFormat/>
    <w:rPr/>
  </w:style>
  <w:style w:type="character" w:styleId="PidipaginaCarattere" w:customStyle="1">
    <w:name w:val="Piè di pagina Carattere"/>
    <w:basedOn w:val="DefaultParagraphFont"/>
    <w:link w:val="Pidipagina"/>
    <w:uiPriority w:val="99"/>
    <w:qFormat/>
    <w:rsid w:val="0027785c"/>
    <w:rPr/>
  </w:style>
  <w:style w:type="character" w:styleId="Pagenumber">
    <w:name w:val="page number"/>
    <w:basedOn w:val="DefaultParagraphFont"/>
    <w:uiPriority w:val="99"/>
    <w:semiHidden/>
    <w:unhideWhenUsed/>
    <w:qFormat/>
    <w:rsid w:val="0027785c"/>
    <w:rPr/>
  </w:style>
  <w:style w:type="character" w:styleId="CollegamentoInternet">
    <w:name w:val="Collegamento Internet"/>
    <w:basedOn w:val="DefaultParagraphFont"/>
    <w:uiPriority w:val="99"/>
    <w:semiHidden/>
    <w:unhideWhenUsed/>
    <w:rsid w:val="004903f9"/>
    <w:rPr>
      <w:color w:val="0000FF"/>
      <w:u w:val="single"/>
    </w:rPr>
  </w:style>
  <w:style w:type="character" w:styleId="FollowedHyperlink">
    <w:name w:val="FollowedHyperlink"/>
    <w:basedOn w:val="DefaultParagraphFont"/>
    <w:uiPriority w:val="99"/>
    <w:semiHidden/>
    <w:unhideWhenUsed/>
    <w:qFormat/>
    <w:rsid w:val="004903f9"/>
    <w:rPr>
      <w:color w:val="800080"/>
      <w:u w:val="single"/>
    </w:rPr>
  </w:style>
  <w:style w:type="character" w:styleId="TestofumettoCarattere" w:customStyle="1">
    <w:name w:val="Testo fumetto Carattere"/>
    <w:basedOn w:val="DefaultParagraphFont"/>
    <w:link w:val="Testofumetto"/>
    <w:uiPriority w:val="99"/>
    <w:semiHidden/>
    <w:qFormat/>
    <w:rsid w:val="00eb7ad5"/>
    <w:rPr>
      <w:rFonts w:ascii="Segoe UI" w:hAnsi="Segoe UI" w:cs="Segoe UI"/>
      <w:sz w:val="18"/>
      <w:szCs w:val="18"/>
    </w:rPr>
  </w:style>
  <w:style w:type="paragraph" w:styleId="Titolo">
    <w:name w:val="Titolo"/>
    <w:basedOn w:val="Normal"/>
    <w:next w:val="Corpodeltesto"/>
    <w:qFormat/>
    <w:pPr>
      <w:keepNext/>
      <w:spacing w:before="240" w:after="120"/>
    </w:pPr>
    <w:rPr>
      <w:rFonts w:ascii="Liberation Sans" w:hAnsi="Liberation Sans" w:eastAsia="Microsoft YaHei" w:cs="Mangal"/>
      <w:sz w:val="28"/>
      <w:szCs w:val="28"/>
    </w:rPr>
  </w:style>
  <w:style w:type="paragraph" w:styleId="Corpodeltesto">
    <w:name w:val="Corpo del testo"/>
    <w:basedOn w:val="Normal"/>
    <w:pPr>
      <w:spacing w:lineRule="auto" w:line="288" w:before="0" w:after="140"/>
    </w:pPr>
    <w:rPr/>
  </w:style>
  <w:style w:type="paragraph" w:styleId="Elenco">
    <w:name w:val="Elenco"/>
    <w:basedOn w:val="Corpodeltesto"/>
    <w:pPr/>
    <w:rPr>
      <w:rFonts w:cs="Mangal"/>
    </w:rPr>
  </w:style>
  <w:style w:type="paragraph" w:styleId="Didascalia">
    <w:name w:val="Didascalia"/>
    <w:basedOn w:val="Normal"/>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dice3">
    <w:name w:val="Indice 3"/>
    <w:basedOn w:val="Normal"/>
    <w:autoRedefine/>
    <w:uiPriority w:val="39"/>
    <w:unhideWhenUsed/>
    <w:qFormat/>
    <w:rsid w:val="00dc13ee"/>
    <w:pPr>
      <w:pBdr/>
      <w:ind w:left="480" w:hanging="0"/>
    </w:pPr>
    <w:rPr>
      <w:rFonts w:ascii="Cambria" w:hAnsi="Cambria" w:eastAsia="Cambria" w:cs="Cambria"/>
      <w:color w:val="000000"/>
      <w:u w:val="none" w:color="000000"/>
    </w:rPr>
  </w:style>
  <w:style w:type="paragraph" w:styleId="ListParagraph">
    <w:name w:val="List Paragraph"/>
    <w:basedOn w:val="Normal"/>
    <w:uiPriority w:val="1"/>
    <w:qFormat/>
    <w:rsid w:val="002306b3"/>
    <w:pPr>
      <w:spacing w:before="0" w:after="0"/>
      <w:ind w:left="720" w:hanging="0"/>
      <w:contextualSpacing/>
    </w:pPr>
    <w:rPr/>
  </w:style>
  <w:style w:type="paragraph" w:styleId="Pidipagina">
    <w:name w:val="Piè di pagina"/>
    <w:basedOn w:val="Normal"/>
    <w:link w:val="PidipaginaCarattere"/>
    <w:uiPriority w:val="99"/>
    <w:unhideWhenUsed/>
    <w:rsid w:val="0027785c"/>
    <w:pPr>
      <w:tabs>
        <w:tab w:val="center" w:pos="4819" w:leader="none"/>
        <w:tab w:val="right" w:pos="9638" w:leader="none"/>
      </w:tabs>
    </w:pPr>
    <w:rPr/>
  </w:style>
  <w:style w:type="paragraph" w:styleId="Font5" w:customStyle="1">
    <w:name w:val="font5"/>
    <w:basedOn w:val="Normal"/>
    <w:qFormat/>
    <w:rsid w:val="004903f9"/>
    <w:pPr>
      <w:spacing w:beforeAutospacing="1" w:afterAutospacing="1"/>
    </w:pPr>
    <w:rPr>
      <w:rFonts w:ascii="Tahoma" w:hAnsi="Tahoma" w:eastAsia="Times New Roman" w:cs="Tahoma"/>
      <w:b/>
      <w:bCs/>
      <w:color w:val="000000"/>
      <w:sz w:val="18"/>
      <w:szCs w:val="18"/>
    </w:rPr>
  </w:style>
  <w:style w:type="paragraph" w:styleId="Font6" w:customStyle="1">
    <w:name w:val="font6"/>
    <w:basedOn w:val="Normal"/>
    <w:qFormat/>
    <w:rsid w:val="004903f9"/>
    <w:pPr>
      <w:spacing w:beforeAutospacing="1" w:afterAutospacing="1"/>
    </w:pPr>
    <w:rPr>
      <w:rFonts w:ascii="Times New Roman" w:hAnsi="Times New Roman" w:eastAsia="Times New Roman" w:cs="Times New Roman"/>
      <w:color w:val="FF0000"/>
      <w:sz w:val="22"/>
      <w:szCs w:val="22"/>
    </w:rPr>
  </w:style>
  <w:style w:type="paragraph" w:styleId="Font7" w:customStyle="1">
    <w:name w:val="font7"/>
    <w:basedOn w:val="Normal"/>
    <w:qFormat/>
    <w:rsid w:val="004903f9"/>
    <w:pPr>
      <w:spacing w:beforeAutospacing="1" w:afterAutospacing="1"/>
    </w:pPr>
    <w:rPr>
      <w:rFonts w:ascii="Times New Roman" w:hAnsi="Times New Roman" w:eastAsia="Times New Roman" w:cs="Times New Roman"/>
      <w:color w:val="000000"/>
      <w:sz w:val="22"/>
      <w:szCs w:val="22"/>
    </w:rPr>
  </w:style>
  <w:style w:type="paragraph" w:styleId="Font8" w:customStyle="1">
    <w:name w:val="font8"/>
    <w:basedOn w:val="Normal"/>
    <w:qFormat/>
    <w:rsid w:val="004903f9"/>
    <w:pPr>
      <w:spacing w:beforeAutospacing="1" w:afterAutospacing="1"/>
    </w:pPr>
    <w:rPr>
      <w:rFonts w:ascii="Times New Roman" w:hAnsi="Times New Roman" w:eastAsia="Times New Roman" w:cs="Times New Roman"/>
      <w:color w:val="FF0000"/>
      <w:sz w:val="22"/>
      <w:szCs w:val="22"/>
    </w:rPr>
  </w:style>
  <w:style w:type="paragraph" w:styleId="Font9" w:customStyle="1">
    <w:name w:val="font9"/>
    <w:basedOn w:val="Normal"/>
    <w:qFormat/>
    <w:rsid w:val="004903f9"/>
    <w:pPr>
      <w:spacing w:beforeAutospacing="1" w:afterAutospacing="1"/>
    </w:pPr>
    <w:rPr>
      <w:rFonts w:ascii="Times New Roman" w:hAnsi="Times New Roman" w:eastAsia="Times New Roman" w:cs="Times New Roman"/>
      <w:sz w:val="22"/>
      <w:szCs w:val="22"/>
    </w:rPr>
  </w:style>
  <w:style w:type="paragraph" w:styleId="Font10" w:customStyle="1">
    <w:name w:val="font10"/>
    <w:basedOn w:val="Normal"/>
    <w:qFormat/>
    <w:rsid w:val="004903f9"/>
    <w:pPr>
      <w:spacing w:beforeAutospacing="1" w:afterAutospacing="1"/>
    </w:pPr>
    <w:rPr>
      <w:rFonts w:ascii="Times New Roman" w:hAnsi="Times New Roman" w:eastAsia="Times New Roman" w:cs="Times New Roman"/>
      <w:b/>
      <w:bCs/>
      <w:sz w:val="16"/>
      <w:szCs w:val="16"/>
    </w:rPr>
  </w:style>
  <w:style w:type="paragraph" w:styleId="Font11" w:customStyle="1">
    <w:name w:val="font11"/>
    <w:basedOn w:val="Normal"/>
    <w:qFormat/>
    <w:rsid w:val="004903f9"/>
    <w:pPr>
      <w:spacing w:beforeAutospacing="1" w:afterAutospacing="1"/>
    </w:pPr>
    <w:rPr>
      <w:rFonts w:ascii="Times New Roman" w:hAnsi="Times New Roman" w:eastAsia="Times New Roman" w:cs="Times New Roman"/>
      <w:sz w:val="16"/>
      <w:szCs w:val="16"/>
    </w:rPr>
  </w:style>
  <w:style w:type="paragraph" w:styleId="Font12" w:customStyle="1">
    <w:name w:val="font12"/>
    <w:basedOn w:val="Normal"/>
    <w:qFormat/>
    <w:rsid w:val="004903f9"/>
    <w:pPr>
      <w:spacing w:beforeAutospacing="1" w:afterAutospacing="1"/>
    </w:pPr>
    <w:rPr>
      <w:rFonts w:ascii="Times New Roman" w:hAnsi="Times New Roman" w:eastAsia="Times New Roman" w:cs="Times New Roman"/>
      <w:i/>
      <w:iCs/>
      <w:sz w:val="16"/>
      <w:szCs w:val="16"/>
      <w:u w:val="single"/>
    </w:rPr>
  </w:style>
  <w:style w:type="paragraph" w:styleId="Font13" w:customStyle="1">
    <w:name w:val="font13"/>
    <w:basedOn w:val="Normal"/>
    <w:qFormat/>
    <w:rsid w:val="004903f9"/>
    <w:pPr>
      <w:spacing w:beforeAutospacing="1" w:afterAutospacing="1"/>
    </w:pPr>
    <w:rPr>
      <w:rFonts w:ascii="Times New Roman" w:hAnsi="Times New Roman" w:eastAsia="Times New Roman" w:cs="Times New Roman"/>
      <w:sz w:val="16"/>
      <w:szCs w:val="16"/>
      <w:u w:val="single"/>
    </w:rPr>
  </w:style>
  <w:style w:type="paragraph" w:styleId="Font14" w:customStyle="1">
    <w:name w:val="font14"/>
    <w:basedOn w:val="Normal"/>
    <w:qFormat/>
    <w:rsid w:val="004903f9"/>
    <w:pPr>
      <w:spacing w:beforeAutospacing="1" w:afterAutospacing="1"/>
    </w:pPr>
    <w:rPr>
      <w:rFonts w:ascii="Times New Roman" w:hAnsi="Times New Roman" w:eastAsia="Times New Roman" w:cs="Times New Roman"/>
      <w:i/>
      <w:iCs/>
      <w:sz w:val="16"/>
      <w:szCs w:val="16"/>
    </w:rPr>
  </w:style>
  <w:style w:type="paragraph" w:styleId="Font15" w:customStyle="1">
    <w:name w:val="font15"/>
    <w:basedOn w:val="Normal"/>
    <w:qFormat/>
    <w:rsid w:val="004903f9"/>
    <w:pPr>
      <w:spacing w:beforeAutospacing="1" w:afterAutospacing="1"/>
    </w:pPr>
    <w:rPr>
      <w:rFonts w:ascii="Times New Roman" w:hAnsi="Times New Roman" w:eastAsia="Times New Roman" w:cs="Times New Roman"/>
      <w:color w:val="FF0000"/>
      <w:sz w:val="16"/>
      <w:szCs w:val="16"/>
    </w:rPr>
  </w:style>
  <w:style w:type="paragraph" w:styleId="Font16" w:customStyle="1">
    <w:name w:val="font16"/>
    <w:basedOn w:val="Normal"/>
    <w:qFormat/>
    <w:rsid w:val="004903f9"/>
    <w:pPr>
      <w:spacing w:beforeAutospacing="1" w:afterAutospacing="1"/>
    </w:pPr>
    <w:rPr>
      <w:rFonts w:ascii="Times New Roman" w:hAnsi="Times New Roman" w:eastAsia="Times New Roman" w:cs="Times New Roman"/>
      <w:b/>
      <w:bCs/>
      <w:sz w:val="16"/>
      <w:szCs w:val="16"/>
      <w:u w:val="double"/>
    </w:rPr>
  </w:style>
  <w:style w:type="paragraph" w:styleId="Xl65" w:customStyle="1">
    <w:name w:val="xl65"/>
    <w:basedOn w:val="Normal"/>
    <w:qFormat/>
    <w:rsid w:val="004903f9"/>
    <w:pPr>
      <w:pBdr>
        <w:left w:val="single" w:sz="4" w:space="0" w:color="00000A"/>
        <w:bottom w:val="single" w:sz="4" w:space="0" w:color="00000A"/>
      </w:pBdr>
      <w:shd w:val="clear" w:color="000000" w:fill="F2F2F2"/>
      <w:spacing w:beforeAutospacing="1" w:afterAutospacing="1"/>
      <w:jc w:val="center"/>
      <w:textAlignment w:val="center"/>
    </w:pPr>
    <w:rPr>
      <w:rFonts w:ascii="Times New Roman" w:hAnsi="Times New Roman" w:eastAsia="Times New Roman" w:cs="Times New Roman"/>
      <w:b/>
      <w:bCs/>
      <w:sz w:val="16"/>
      <w:szCs w:val="16"/>
    </w:rPr>
  </w:style>
  <w:style w:type="paragraph" w:styleId="Xl66" w:customStyle="1">
    <w:name w:val="xl66"/>
    <w:basedOn w:val="Normal"/>
    <w:qFormat/>
    <w:rsid w:val="004903f9"/>
    <w:pPr>
      <w:pBdr>
        <w:bottom w:val="single" w:sz="4" w:space="0" w:color="00000A"/>
      </w:pBdr>
      <w:shd w:val="clear" w:color="000000" w:fill="F2F2F2"/>
      <w:spacing w:beforeAutospacing="1" w:afterAutospacing="1"/>
      <w:jc w:val="center"/>
      <w:textAlignment w:val="center"/>
    </w:pPr>
    <w:rPr>
      <w:rFonts w:ascii="Times New Roman" w:hAnsi="Times New Roman" w:eastAsia="Times New Roman" w:cs="Times New Roman"/>
      <w:b/>
      <w:bCs/>
      <w:sz w:val="16"/>
      <w:szCs w:val="16"/>
    </w:rPr>
  </w:style>
  <w:style w:type="paragraph" w:styleId="Xl67" w:customStyle="1">
    <w:name w:val="xl67"/>
    <w:basedOn w:val="Normal"/>
    <w:qFormat/>
    <w:rsid w:val="004903f9"/>
    <w:pPr>
      <w:spacing w:beforeAutospacing="1" w:afterAutospacing="1"/>
    </w:pPr>
    <w:rPr>
      <w:rFonts w:ascii="Times New Roman" w:hAnsi="Times New Roman" w:eastAsia="Times New Roman" w:cs="Times New Roman"/>
      <w:sz w:val="16"/>
      <w:szCs w:val="16"/>
    </w:rPr>
  </w:style>
  <w:style w:type="paragraph" w:styleId="Xl68" w:customStyle="1">
    <w:name w:val="xl68"/>
    <w:basedOn w:val="Normal"/>
    <w:qFormat/>
    <w:rsid w:val="004903f9"/>
    <w:pPr>
      <w:pBdr>
        <w:top w:val="single" w:sz="4" w:space="0" w:color="00000A"/>
        <w:left w:val="single" w:sz="4" w:space="0" w:color="00000A"/>
        <w:bottom w:val="single" w:sz="4" w:space="0" w:color="00000A"/>
        <w:right w:val="single" w:sz="4" w:space="0" w:color="00000A"/>
      </w:pBdr>
      <w:shd w:val="clear" w:color="000000" w:fill="F2F2F2"/>
      <w:spacing w:beforeAutospacing="1" w:afterAutospacing="1"/>
      <w:jc w:val="center"/>
      <w:textAlignment w:val="center"/>
    </w:pPr>
    <w:rPr>
      <w:rFonts w:ascii="Times New Roman" w:hAnsi="Times New Roman" w:eastAsia="Times New Roman" w:cs="Times New Roman"/>
      <w:b/>
      <w:bCs/>
      <w:sz w:val="16"/>
      <w:szCs w:val="16"/>
    </w:rPr>
  </w:style>
  <w:style w:type="paragraph" w:styleId="Xl69" w:customStyle="1">
    <w:name w:val="xl69"/>
    <w:basedOn w:val="Normal"/>
    <w:qFormat/>
    <w:rsid w:val="004903f9"/>
    <w:pPr>
      <w:spacing w:beforeAutospacing="1" w:afterAutospacing="1"/>
      <w:jc w:val="center"/>
      <w:textAlignment w:val="center"/>
    </w:pPr>
    <w:rPr>
      <w:rFonts w:ascii="Times New Roman" w:hAnsi="Times New Roman" w:eastAsia="Times New Roman" w:cs="Times New Roman"/>
      <w:b/>
      <w:bCs/>
      <w:sz w:val="16"/>
      <w:szCs w:val="16"/>
    </w:rPr>
  </w:style>
  <w:style w:type="paragraph" w:styleId="Xl70" w:customStyle="1">
    <w:name w:val="xl70"/>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ascii="Times New Roman" w:hAnsi="Times New Roman" w:eastAsia="Times New Roman" w:cs="Times New Roman"/>
      <w:b/>
      <w:bCs/>
      <w:sz w:val="16"/>
      <w:szCs w:val="16"/>
    </w:rPr>
  </w:style>
  <w:style w:type="paragraph" w:styleId="Xl71" w:customStyle="1">
    <w:name w:val="xl71"/>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72" w:customStyle="1">
    <w:name w:val="xl72"/>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73" w:customStyle="1">
    <w:name w:val="xl73"/>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74" w:customStyle="1">
    <w:name w:val="xl74"/>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ascii="Times New Roman" w:hAnsi="Times New Roman" w:eastAsia="Times New Roman" w:cs="Times New Roman"/>
      <w:sz w:val="16"/>
      <w:szCs w:val="16"/>
    </w:rPr>
  </w:style>
  <w:style w:type="paragraph" w:styleId="Xl75" w:customStyle="1">
    <w:name w:val="xl75"/>
    <w:basedOn w:val="Normal"/>
    <w:qFormat/>
    <w:rsid w:val="004903f9"/>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textAlignment w:val="center"/>
    </w:pPr>
    <w:rPr>
      <w:rFonts w:ascii="Times New Roman" w:hAnsi="Times New Roman" w:eastAsia="Times New Roman" w:cs="Times New Roman"/>
      <w:sz w:val="16"/>
      <w:szCs w:val="16"/>
    </w:rPr>
  </w:style>
  <w:style w:type="paragraph" w:styleId="Xl76" w:customStyle="1">
    <w:name w:val="xl76"/>
    <w:basedOn w:val="Normal"/>
    <w:qFormat/>
    <w:rsid w:val="004903f9"/>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textAlignment w:val="center"/>
    </w:pPr>
    <w:rPr>
      <w:rFonts w:ascii="Times New Roman" w:hAnsi="Times New Roman" w:eastAsia="Times New Roman" w:cs="Times New Roman"/>
      <w:sz w:val="16"/>
      <w:szCs w:val="16"/>
    </w:rPr>
  </w:style>
  <w:style w:type="paragraph" w:styleId="Xl77" w:customStyle="1">
    <w:name w:val="xl77"/>
    <w:basedOn w:val="Normal"/>
    <w:qFormat/>
    <w:rsid w:val="004903f9"/>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ascii="Times New Roman" w:hAnsi="Times New Roman" w:eastAsia="Times New Roman" w:cs="Times New Roman"/>
      <w:sz w:val="16"/>
      <w:szCs w:val="16"/>
    </w:rPr>
  </w:style>
  <w:style w:type="paragraph" w:styleId="Xl78" w:customStyle="1">
    <w:name w:val="xl78"/>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ascii="Garamond" w:hAnsi="Garamond" w:eastAsia="Times New Roman" w:cs="Times New Roman"/>
      <w:sz w:val="16"/>
      <w:szCs w:val="16"/>
    </w:rPr>
  </w:style>
  <w:style w:type="paragraph" w:styleId="Xl79" w:customStyle="1">
    <w:name w:val="xl79"/>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80" w:customStyle="1">
    <w:name w:val="xl80"/>
    <w:basedOn w:val="Normal"/>
    <w:qFormat/>
    <w:rsid w:val="004903f9"/>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ascii="Times New Roman" w:hAnsi="Times New Roman" w:eastAsia="Times New Roman" w:cs="Times New Roman"/>
      <w:b/>
      <w:bCs/>
      <w:sz w:val="16"/>
      <w:szCs w:val="16"/>
    </w:rPr>
  </w:style>
  <w:style w:type="paragraph" w:styleId="Xl81" w:customStyle="1">
    <w:name w:val="xl81"/>
    <w:basedOn w:val="Normal"/>
    <w:qFormat/>
    <w:rsid w:val="004903f9"/>
    <w:pPr>
      <w:pBdr>
        <w:left w:val="single" w:sz="4" w:space="0" w:color="00000A"/>
        <w:right w:val="single" w:sz="4" w:space="0" w:color="00000A"/>
      </w:pBdr>
      <w:shd w:val="clear" w:color="000000" w:fill="FFFFFF"/>
      <w:spacing w:beforeAutospacing="1" w:afterAutospacing="1"/>
      <w:jc w:val="center"/>
      <w:textAlignment w:val="center"/>
    </w:pPr>
    <w:rPr>
      <w:rFonts w:ascii="Times New Roman" w:hAnsi="Times New Roman" w:eastAsia="Times New Roman" w:cs="Times New Roman"/>
      <w:b/>
      <w:bCs/>
      <w:sz w:val="16"/>
      <w:szCs w:val="16"/>
    </w:rPr>
  </w:style>
  <w:style w:type="paragraph" w:styleId="Xl82" w:customStyle="1">
    <w:name w:val="xl82"/>
    <w:basedOn w:val="Normal"/>
    <w:qFormat/>
    <w:rsid w:val="004903f9"/>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ascii="Times New Roman" w:hAnsi="Times New Roman" w:eastAsia="Times New Roman" w:cs="Times New Roman"/>
      <w:b/>
      <w:bCs/>
      <w:sz w:val="16"/>
      <w:szCs w:val="16"/>
    </w:rPr>
  </w:style>
  <w:style w:type="paragraph" w:styleId="Xl83" w:customStyle="1">
    <w:name w:val="xl83"/>
    <w:basedOn w:val="Normal"/>
    <w:qFormat/>
    <w:rsid w:val="004903f9"/>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ascii="Times New Roman" w:hAnsi="Times New Roman" w:eastAsia="Times New Roman" w:cs="Times New Roman"/>
      <w:sz w:val="16"/>
      <w:szCs w:val="16"/>
    </w:rPr>
  </w:style>
  <w:style w:type="paragraph" w:styleId="Xl84" w:customStyle="1">
    <w:name w:val="xl84"/>
    <w:basedOn w:val="Normal"/>
    <w:qFormat/>
    <w:rsid w:val="004903f9"/>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ascii="Times New Roman" w:hAnsi="Times New Roman" w:eastAsia="Times New Roman" w:cs="Times New Roman"/>
      <w:sz w:val="16"/>
      <w:szCs w:val="16"/>
    </w:rPr>
  </w:style>
  <w:style w:type="paragraph" w:styleId="Xl85" w:customStyle="1">
    <w:name w:val="xl85"/>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ascii="Times New Roman" w:hAnsi="Times New Roman" w:eastAsia="Times New Roman" w:cs="Times New Roman"/>
      <w:b/>
      <w:bCs/>
      <w:sz w:val="16"/>
      <w:szCs w:val="16"/>
    </w:rPr>
  </w:style>
  <w:style w:type="paragraph" w:styleId="Xl86" w:customStyle="1">
    <w:name w:val="xl86"/>
    <w:basedOn w:val="Normal"/>
    <w:qFormat/>
    <w:rsid w:val="004903f9"/>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ascii="Times New Roman" w:hAnsi="Times New Roman" w:eastAsia="Times New Roman" w:cs="Times New Roman"/>
      <w:sz w:val="16"/>
      <w:szCs w:val="16"/>
    </w:rPr>
  </w:style>
  <w:style w:type="paragraph" w:styleId="Xl87" w:customStyle="1">
    <w:name w:val="xl87"/>
    <w:basedOn w:val="Normal"/>
    <w:qFormat/>
    <w:rsid w:val="004903f9"/>
    <w:pPr>
      <w:shd w:val="clear" w:color="000000" w:fill="FFFFFF"/>
      <w:spacing w:beforeAutospacing="1" w:afterAutospacing="1"/>
    </w:pPr>
    <w:rPr>
      <w:rFonts w:ascii="Times New Roman" w:hAnsi="Times New Roman" w:eastAsia="Times New Roman" w:cs="Times New Roman"/>
      <w:sz w:val="16"/>
      <w:szCs w:val="16"/>
    </w:rPr>
  </w:style>
  <w:style w:type="paragraph" w:styleId="Xl88" w:customStyle="1">
    <w:name w:val="xl88"/>
    <w:basedOn w:val="Normal"/>
    <w:qFormat/>
    <w:rsid w:val="004903f9"/>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ascii="Times New Roman" w:hAnsi="Times New Roman" w:eastAsia="Times New Roman" w:cs="Times New Roman"/>
      <w:b/>
      <w:bCs/>
      <w:sz w:val="16"/>
      <w:szCs w:val="16"/>
    </w:rPr>
  </w:style>
  <w:style w:type="paragraph" w:styleId="Xl89" w:customStyle="1">
    <w:name w:val="xl89"/>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90" w:customStyle="1">
    <w:name w:val="xl90"/>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ascii="Times New Roman" w:hAnsi="Times New Roman" w:eastAsia="Times New Roman" w:cs="Times New Roman"/>
      <w:sz w:val="16"/>
      <w:szCs w:val="16"/>
    </w:rPr>
  </w:style>
  <w:style w:type="paragraph" w:styleId="Xl91" w:customStyle="1">
    <w:name w:val="xl91"/>
    <w:basedOn w:val="Normal"/>
    <w:qFormat/>
    <w:rsid w:val="004903f9"/>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ascii="Times New Roman" w:hAnsi="Times New Roman" w:eastAsia="Times New Roman" w:cs="Times New Roman"/>
      <w:sz w:val="16"/>
      <w:szCs w:val="16"/>
    </w:rPr>
  </w:style>
  <w:style w:type="paragraph" w:styleId="Xl92" w:customStyle="1">
    <w:name w:val="xl92"/>
    <w:basedOn w:val="Normal"/>
    <w:qFormat/>
    <w:rsid w:val="004903f9"/>
    <w:pPr>
      <w:spacing w:beforeAutospacing="1" w:afterAutospacing="1"/>
      <w:textAlignment w:val="center"/>
    </w:pPr>
    <w:rPr>
      <w:rFonts w:ascii="Times New Roman" w:hAnsi="Times New Roman" w:eastAsia="Times New Roman" w:cs="Times New Roman"/>
      <w:sz w:val="16"/>
      <w:szCs w:val="16"/>
    </w:rPr>
  </w:style>
  <w:style w:type="paragraph" w:styleId="Xl93" w:customStyle="1">
    <w:name w:val="xl93"/>
    <w:basedOn w:val="Normal"/>
    <w:qFormat/>
    <w:rsid w:val="004903f9"/>
    <w:pP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63" w:customStyle="1">
    <w:name w:val="xl63"/>
    <w:basedOn w:val="Normal"/>
    <w:qFormat/>
    <w:rsid w:val="0083558f"/>
    <w:pPr>
      <w:pBdr>
        <w:bottom w:val="single" w:sz="8" w:space="0" w:color="00000A"/>
        <w:right w:val="single" w:sz="8" w:space="0" w:color="00000A"/>
      </w:pBdr>
      <w:shd w:val="clear" w:color="000000" w:fill="FFFFFF"/>
      <w:spacing w:beforeAutospacing="1" w:afterAutospacing="1"/>
      <w:textAlignment w:val="center"/>
    </w:pPr>
    <w:rPr>
      <w:rFonts w:ascii="Times New Roman" w:hAnsi="Times New Roman" w:eastAsia="Times New Roman" w:cs="Times New Roman"/>
    </w:rPr>
  </w:style>
  <w:style w:type="paragraph" w:styleId="Xl64" w:customStyle="1">
    <w:name w:val="xl64"/>
    <w:basedOn w:val="Normal"/>
    <w:qFormat/>
    <w:rsid w:val="0083558f"/>
    <w:pPr>
      <w:pBdr>
        <w:right w:val="single" w:sz="8" w:space="0" w:color="00000A"/>
      </w:pBdr>
      <w:shd w:val="clear" w:color="000000" w:fill="FFFFFF"/>
      <w:spacing w:beforeAutospacing="1" w:afterAutospacing="1"/>
      <w:jc w:val="center"/>
      <w:textAlignment w:val="center"/>
    </w:pPr>
    <w:rPr>
      <w:rFonts w:ascii="Times New Roman" w:hAnsi="Times New Roman" w:eastAsia="Times New Roman" w:cs="Times New Roman"/>
    </w:rPr>
  </w:style>
  <w:style w:type="paragraph" w:styleId="Xl94" w:customStyle="1">
    <w:name w:val="xl94"/>
    <w:basedOn w:val="Normal"/>
    <w:qFormat/>
    <w:rsid w:val="0083558f"/>
    <w:pPr>
      <w:pBdr>
        <w:top w:val="single" w:sz="8" w:space="0" w:color="000001"/>
        <w:left w:val="single" w:sz="8" w:space="0" w:color="00000A"/>
        <w:right w:val="single" w:sz="8" w:space="0" w:color="00000A"/>
      </w:pBdr>
      <w:shd w:val="clear" w:color="000000" w:fill="FFFFFF"/>
      <w:spacing w:beforeAutospacing="1" w:afterAutospacing="1"/>
      <w:jc w:val="center"/>
      <w:textAlignment w:val="center"/>
    </w:pPr>
    <w:rPr>
      <w:rFonts w:ascii="Times New Roman" w:hAnsi="Times New Roman" w:eastAsia="Times New Roman" w:cs="Times New Roman"/>
    </w:rPr>
  </w:style>
  <w:style w:type="paragraph" w:styleId="BalloonText">
    <w:name w:val="Balloon Text"/>
    <w:basedOn w:val="Normal"/>
    <w:link w:val="TestofumettoCarattere"/>
    <w:uiPriority w:val="99"/>
    <w:semiHidden/>
    <w:unhideWhenUsed/>
    <w:qFormat/>
    <w:rsid w:val="00eb7ad5"/>
    <w:pPr/>
    <w:rPr>
      <w:rFonts w:ascii="Segoe UI" w:hAnsi="Segoe UI" w:cs="Segoe UI"/>
      <w:sz w:val="18"/>
      <w:szCs w:val="18"/>
    </w:rPr>
  </w:style>
  <w:style w:type="paragraph" w:styleId="Xl95" w:customStyle="1">
    <w:name w:val="xl95"/>
    <w:basedOn w:val="Normal"/>
    <w:qFormat/>
    <w:rsid w:val="00f95f00"/>
    <w:pPr>
      <w:pBdr>
        <w:top w:val="single" w:sz="8" w:space="0" w:color="00000A"/>
        <w:left w:val="single" w:sz="8" w:space="0" w:color="00000A"/>
        <w:right w:val="single" w:sz="8" w:space="0" w:color="00000A"/>
      </w:pBdr>
      <w:shd w:val="clear" w:color="000000" w:fill="BFBFBF"/>
      <w:spacing w:beforeAutospacing="1" w:afterAutospacing="1"/>
      <w:textAlignment w:val="center"/>
    </w:pPr>
    <w:rPr>
      <w:rFonts w:ascii="Times New Roman" w:hAnsi="Times New Roman" w:eastAsia="Times New Roman" w:cs="Times New Roman"/>
    </w:rPr>
  </w:style>
  <w:style w:type="paragraph" w:styleId="Xl96" w:customStyle="1">
    <w:name w:val="xl96"/>
    <w:basedOn w:val="Normal"/>
    <w:qFormat/>
    <w:rsid w:val="00f95f00"/>
    <w:pPr>
      <w:pBdr>
        <w:left w:val="single" w:sz="8" w:space="0" w:color="00000A"/>
        <w:right w:val="single" w:sz="8" w:space="0" w:color="00000A"/>
      </w:pBdr>
      <w:shd w:val="clear" w:color="000000" w:fill="BFBFBF"/>
      <w:spacing w:beforeAutospacing="1" w:afterAutospacing="1"/>
      <w:textAlignment w:val="center"/>
    </w:pPr>
    <w:rPr>
      <w:rFonts w:ascii="Times New Roman" w:hAnsi="Times New Roman" w:eastAsia="Times New Roman" w:cs="Times New Roman"/>
    </w:rPr>
  </w:style>
  <w:style w:type="paragraph" w:styleId="Contenutocornice">
    <w:name w:val="Contenuto cornice"/>
    <w:basedOn w:val="Normal"/>
    <w:qFormat/>
    <w:pPr/>
    <w:rPr/>
  </w:style>
  <w:style w:type="numbering" w:styleId="NoList" w:default="1">
    <w:name w:val="No List"/>
    <w:uiPriority w:val="99"/>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rsid w:val="002306b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Application>LibreOffice/5.1.0.3$Windows_x86 LibreOffice_project/5e3e00a007d9b3b6efb6797a8b8e57b51ab1f737</Application>
  <Pages>1</Pages>
  <Words>9925</Words>
  <CharactersWithSpaces>56578</CharactersWithSpaces>
  <Paragraphs>132</Paragraphs>
  <Company>Studio NCPG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2019-01-03T18:34:00Z</dcterms:created>
  <dc:creator>Nadia Cora</dc:creator>
  <dc:description/>
  <dc:language>it-IT</dc:language>
  <cp:lastModifiedBy>Oliviero cristiano</cp:lastModifiedBy>
  <dcterms:modified xsi:type="dcterms:W3CDTF">2021-03-05T10:58:00Z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Studio NCPG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